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6"/>
        <w:widowControl w:val="0"/>
        <w:snapToGrid w:val="0"/>
        <w:spacing w:before="156" w:beforeLines="50" w:after="156" w:afterLines="50" w:line="240" w:lineRule="auto"/>
        <w:ind w:firstLine="0"/>
        <w:jc w:val="center"/>
        <w:rPr>
          <w:rFonts w:ascii="宋体" w:hAnsi="宋体"/>
          <w:b/>
          <w:color w:val="auto"/>
        </w:rPr>
      </w:pPr>
      <w:r>
        <w:rPr>
          <w:rFonts w:hint="eastAsia" w:ascii="宋体" w:hAnsi="宋体"/>
          <w:b/>
          <w:color w:val="auto"/>
        </w:rPr>
        <w:t>江南农村商业银行“富江南之锦富添盈A计划D1680期02”</w:t>
      </w:r>
    </w:p>
    <w:p>
      <w:pPr>
        <w:pStyle w:val="16"/>
        <w:widowControl w:val="0"/>
        <w:snapToGrid w:val="0"/>
        <w:spacing w:before="156" w:beforeLines="50" w:after="156" w:afterLines="50" w:line="240" w:lineRule="auto"/>
        <w:ind w:firstLine="0"/>
        <w:jc w:val="center"/>
        <w:rPr>
          <w:rFonts w:ascii="宋体" w:hAnsi="宋体"/>
          <w:b/>
          <w:color w:val="auto"/>
        </w:rPr>
      </w:pPr>
      <w:r>
        <w:rPr>
          <w:rFonts w:hint="eastAsia" w:ascii="宋体" w:hAnsi="宋体"/>
          <w:b/>
          <w:color w:val="auto"/>
        </w:rPr>
        <w:t>人民币理财产品说明书</w:t>
      </w:r>
    </w:p>
    <w:p>
      <w:pPr>
        <w:autoSpaceDE w:val="0"/>
        <w:autoSpaceDN w:val="0"/>
        <w:adjustRightInd w:val="0"/>
        <w:rPr>
          <w:rFonts w:ascii="仿宋" w:hAnsi="仿宋" w:eastAsia="仿宋" w:cs="ﾋﾎﾌ蚰ﾅﾝ.."/>
          <w:b/>
          <w:kern w:val="0"/>
          <w:szCs w:val="21"/>
        </w:rPr>
      </w:pPr>
      <w:r>
        <w:rPr>
          <w:rFonts w:hint="eastAsia" w:ascii="仿宋" w:hAnsi="仿宋" w:eastAsia="仿宋" w:cs="ﾋﾎﾌ蚰ﾅﾝ.."/>
          <w:b/>
          <w:kern w:val="0"/>
          <w:szCs w:val="21"/>
        </w:rPr>
        <w:t>一、重要须知：</w:t>
      </w:r>
    </w:p>
    <w:p>
      <w:pPr>
        <w:autoSpaceDE w:val="0"/>
        <w:autoSpaceDN w:val="0"/>
        <w:adjustRightInd w:val="0"/>
        <w:rPr>
          <w:rFonts w:ascii="仿宋" w:hAnsi="仿宋" w:eastAsia="仿宋" w:cs="ﾋﾎﾌ蚰ﾅﾝ.."/>
          <w:b/>
          <w:kern w:val="0"/>
          <w:szCs w:val="21"/>
        </w:rPr>
      </w:pPr>
      <w:r>
        <w:rPr>
          <w:rFonts w:hint="eastAsia" w:ascii="仿宋" w:hAnsi="仿宋" w:cs="ﾋﾎﾌ蚰ﾅﾝ.." w:eastAsiaTheme="minorEastAsia"/>
          <w:b/>
          <w:kern w:val="0"/>
          <w:szCs w:val="21"/>
        </w:rPr>
        <w:t>1、</w:t>
      </w:r>
      <w:r>
        <w:rPr>
          <w:rFonts w:hint="eastAsia" w:ascii="仿宋" w:hAnsi="仿宋" w:eastAsia="仿宋" w:cs="ﾋﾎﾌ蚰ﾅﾝ.."/>
          <w:b/>
          <w:kern w:val="0"/>
          <w:szCs w:val="21"/>
        </w:rPr>
        <w:t>本产品不等同于银行存款。</w:t>
      </w:r>
    </w:p>
    <w:p>
      <w:pPr>
        <w:autoSpaceDE w:val="0"/>
        <w:autoSpaceDN w:val="0"/>
        <w:adjustRightInd w:val="0"/>
        <w:rPr>
          <w:rFonts w:ascii="仿宋" w:hAnsi="仿宋" w:eastAsia="仿宋" w:cs="ﾋﾎﾌ蚰ﾅﾝ.."/>
          <w:b/>
          <w:kern w:val="0"/>
          <w:szCs w:val="21"/>
        </w:rPr>
      </w:pPr>
      <w:r>
        <w:rPr>
          <w:rFonts w:hint="eastAsia" w:ascii="仿宋" w:hAnsi="仿宋" w:cs="ﾋﾎﾌ蚰ﾅﾝ.." w:eastAsiaTheme="minorEastAsia"/>
          <w:b/>
          <w:kern w:val="0"/>
          <w:szCs w:val="21"/>
        </w:rPr>
        <w:t>2、</w:t>
      </w:r>
      <w:r>
        <w:rPr>
          <w:rFonts w:hint="eastAsia" w:ascii="仿宋" w:hAnsi="仿宋" w:eastAsia="仿宋" w:cs="ﾋﾎﾌ蚰ﾅﾝ.."/>
          <w:b/>
          <w:kern w:val="0"/>
          <w:szCs w:val="21"/>
        </w:rPr>
        <w:t>本产品仅向依据中华人民共和国有关法律法规及本产品说明书规定可以购买本产品的合格投资者发售。</w:t>
      </w:r>
    </w:p>
    <w:p>
      <w:pPr>
        <w:autoSpaceDE w:val="0"/>
        <w:autoSpaceDN w:val="0"/>
        <w:adjustRightInd w:val="0"/>
        <w:rPr>
          <w:rFonts w:ascii="仿宋" w:hAnsi="仿宋" w:eastAsia="仿宋" w:cs="ﾋﾎﾌ蚰ﾅﾝ.."/>
          <w:b/>
          <w:kern w:val="0"/>
          <w:szCs w:val="21"/>
        </w:rPr>
      </w:pPr>
      <w:r>
        <w:rPr>
          <w:rFonts w:hint="eastAsia" w:ascii="仿宋" w:hAnsi="仿宋" w:cs="ﾋﾎﾌ蚰ﾅﾝ.." w:eastAsiaTheme="minorEastAsia"/>
          <w:b/>
          <w:kern w:val="0"/>
          <w:szCs w:val="21"/>
        </w:rPr>
        <w:t>3、</w:t>
      </w:r>
      <w:r>
        <w:rPr>
          <w:rFonts w:hint="eastAsia" w:ascii="仿宋" w:hAnsi="仿宋" w:eastAsia="仿宋" w:cs="ﾋﾎﾌ蚰ﾅﾝ.."/>
          <w:b/>
          <w:kern w:val="0"/>
          <w:szCs w:val="21"/>
        </w:rPr>
        <w:t>在购买本产品前，请投资者确保完全明白本产品的性质、其中涉及的风险以及投资者的自身情况。投资者若对本产品说明书的内容有任何疑问，请向江南农村商业银行各营业网点、营销部门或江南农村商业银行客户服务热线（0519-96005）咨询。</w:t>
      </w:r>
    </w:p>
    <w:p>
      <w:pPr>
        <w:autoSpaceDE w:val="0"/>
        <w:autoSpaceDN w:val="0"/>
        <w:adjustRightInd w:val="0"/>
        <w:rPr>
          <w:rFonts w:ascii="仿宋" w:hAnsi="仿宋" w:eastAsia="仿宋" w:cs="ﾋﾎﾌ蚰ﾅﾝ.."/>
          <w:b/>
          <w:kern w:val="0"/>
          <w:szCs w:val="21"/>
        </w:rPr>
      </w:pPr>
      <w:r>
        <w:rPr>
          <w:rFonts w:hint="eastAsia" w:ascii="仿宋" w:hAnsi="仿宋" w:cs="ﾋﾎﾌ蚰ﾅﾝ.." w:eastAsiaTheme="minorEastAsia"/>
          <w:b/>
          <w:kern w:val="0"/>
          <w:szCs w:val="21"/>
        </w:rPr>
        <w:t>4、</w:t>
      </w:r>
      <w:r>
        <w:rPr>
          <w:rFonts w:hint="eastAsia" w:ascii="仿宋" w:hAnsi="仿宋" w:eastAsia="仿宋" w:cs="ﾋﾎﾌ蚰ﾅﾝ.."/>
          <w:b/>
          <w:kern w:val="0"/>
          <w:szCs w:val="21"/>
        </w:rPr>
        <w:t>除本产品说明书中明确规定的收益及收益分配方式外，任何预期收益、预计收益、测算收益或类似表述均属不具有法律约束力的用语，不代表投资者可能获得的实际收益，亦不构成江南农村商业银行对本产品的任何收益承诺。</w:t>
      </w:r>
    </w:p>
    <w:p>
      <w:pPr>
        <w:autoSpaceDE w:val="0"/>
        <w:autoSpaceDN w:val="0"/>
        <w:adjustRightInd w:val="0"/>
        <w:rPr>
          <w:rFonts w:ascii="仿宋" w:hAnsi="仿宋" w:eastAsia="仿宋" w:cs="ﾋﾎﾌ蚰ﾅﾝ.."/>
          <w:b/>
          <w:kern w:val="0"/>
          <w:szCs w:val="21"/>
        </w:rPr>
      </w:pPr>
      <w:r>
        <w:rPr>
          <w:rFonts w:hint="eastAsia" w:ascii="仿宋" w:hAnsi="仿宋" w:cs="ﾋﾎﾌ蚰ﾅﾝ.." w:eastAsiaTheme="minorEastAsia"/>
          <w:b/>
          <w:kern w:val="0"/>
          <w:szCs w:val="21"/>
        </w:rPr>
        <w:t>5、</w:t>
      </w:r>
      <w:r>
        <w:rPr>
          <w:rFonts w:hint="eastAsia" w:ascii="仿宋" w:hAnsi="仿宋" w:eastAsia="仿宋" w:cs="ﾋﾎﾌ蚰ﾅﾝ.."/>
          <w:b/>
          <w:kern w:val="0"/>
          <w:szCs w:val="21"/>
        </w:rPr>
        <w:t>本产品只根据本产品说明书所载的资料操作。</w:t>
      </w:r>
    </w:p>
    <w:p>
      <w:pPr>
        <w:autoSpaceDE w:val="0"/>
        <w:autoSpaceDN w:val="0"/>
        <w:adjustRightInd w:val="0"/>
        <w:rPr>
          <w:rFonts w:ascii="仿宋" w:hAnsi="仿宋" w:eastAsia="仿宋" w:cs="ﾋﾎﾌ蚰ﾅﾝ.."/>
          <w:b/>
          <w:kern w:val="0"/>
          <w:szCs w:val="21"/>
        </w:rPr>
      </w:pPr>
      <w:r>
        <w:rPr>
          <w:rFonts w:hint="eastAsia" w:ascii="仿宋" w:hAnsi="仿宋" w:cs="ﾋﾎﾌ蚰ﾅﾝ.." w:eastAsiaTheme="minorEastAsia"/>
          <w:b/>
          <w:kern w:val="0"/>
          <w:szCs w:val="21"/>
        </w:rPr>
        <w:t>6、</w:t>
      </w:r>
      <w:r>
        <w:rPr>
          <w:rFonts w:hint="eastAsia" w:ascii="仿宋" w:hAnsi="仿宋" w:eastAsia="仿宋" w:cs="ﾋﾎﾌ蚰ﾅﾝ.."/>
          <w:b/>
          <w:kern w:val="0"/>
          <w:szCs w:val="21"/>
        </w:rPr>
        <w:t>在本产品存续期内，如因国家法律法规、监管规定发生变化，或是出于维持本产品正常运营的需要，在不损害投资者利益的前提下，江南农村商业银行有权单方对本产品说明书进行修订。</w:t>
      </w:r>
    </w:p>
    <w:p>
      <w:pPr>
        <w:rPr>
          <w:rFonts w:ascii="仿宋" w:hAnsi="仿宋" w:eastAsia="仿宋" w:cs="ﾋﾎﾌ蚰ﾅﾝ.."/>
          <w:b/>
          <w:kern w:val="0"/>
          <w:szCs w:val="21"/>
        </w:rPr>
      </w:pPr>
      <w:r>
        <w:rPr>
          <w:rFonts w:hint="eastAsia" w:ascii="仿宋" w:hAnsi="仿宋" w:cs="ﾋﾎﾌ蚰ﾅﾝ.." w:eastAsiaTheme="minorEastAsia"/>
          <w:b/>
          <w:kern w:val="0"/>
          <w:szCs w:val="21"/>
        </w:rPr>
        <w:t>7、</w:t>
      </w:r>
      <w:r>
        <w:rPr>
          <w:rFonts w:hint="eastAsia" w:ascii="仿宋" w:hAnsi="仿宋" w:eastAsia="仿宋" w:cs="ﾋﾎﾌ蚰ﾅﾝ.."/>
          <w:b/>
          <w:kern w:val="0"/>
          <w:szCs w:val="21"/>
        </w:rPr>
        <w:t>江南农村商业银行对本产品说明书有权依法进行解释。</w:t>
      </w:r>
    </w:p>
    <w:p>
      <w:pPr>
        <w:autoSpaceDE w:val="0"/>
        <w:autoSpaceDN w:val="0"/>
        <w:adjustRightInd w:val="0"/>
        <w:rPr>
          <w:rFonts w:ascii="仿宋" w:hAnsi="仿宋" w:eastAsia="仿宋" w:cs="宋体Y."/>
          <w:b/>
          <w:kern w:val="0"/>
          <w:szCs w:val="21"/>
        </w:rPr>
      </w:pPr>
    </w:p>
    <w:p>
      <w:pPr>
        <w:autoSpaceDE w:val="0"/>
        <w:autoSpaceDN w:val="0"/>
        <w:adjustRightInd w:val="0"/>
        <w:rPr>
          <w:rFonts w:ascii="仿宋" w:hAnsi="仿宋" w:eastAsia="仿宋" w:cs="宋体Y."/>
          <w:b/>
          <w:kern w:val="0"/>
          <w:szCs w:val="21"/>
        </w:rPr>
      </w:pPr>
      <w:r>
        <w:rPr>
          <w:rFonts w:hint="eastAsia" w:ascii="仿宋" w:hAnsi="仿宋" w:eastAsia="仿宋" w:cs="宋体Y."/>
          <w:b/>
          <w:kern w:val="0"/>
          <w:szCs w:val="21"/>
        </w:rPr>
        <w:t>二、风险揭示：</w:t>
      </w:r>
    </w:p>
    <w:p>
      <w:pPr>
        <w:autoSpaceDE w:val="0"/>
        <w:autoSpaceDN w:val="0"/>
        <w:adjustRightInd w:val="0"/>
        <w:rPr>
          <w:rFonts w:ascii="仿宋" w:hAnsi="仿宋" w:eastAsia="仿宋" w:cs="宋体Y."/>
          <w:b/>
          <w:kern w:val="0"/>
          <w:szCs w:val="21"/>
        </w:rPr>
      </w:pPr>
      <w:r>
        <w:rPr>
          <w:rFonts w:hint="eastAsia" w:ascii="仿宋" w:hAnsi="仿宋" w:eastAsia="仿宋" w:cs="宋体Y."/>
          <w:b/>
          <w:kern w:val="0"/>
          <w:szCs w:val="21"/>
        </w:rPr>
        <w:t>理财非存款、产品有风险、投资须谨慎，投资者应充分认识以下风险：</w:t>
      </w:r>
    </w:p>
    <w:p>
      <w:pPr>
        <w:autoSpaceDE w:val="0"/>
        <w:autoSpaceDN w:val="0"/>
        <w:adjustRightInd w:val="0"/>
        <w:rPr>
          <w:rFonts w:ascii="仿宋" w:hAnsi="仿宋" w:eastAsia="仿宋" w:cs="宋体Y."/>
          <w:b/>
          <w:color w:val="FF0000"/>
          <w:kern w:val="0"/>
          <w:szCs w:val="21"/>
        </w:rPr>
      </w:pPr>
      <w:r>
        <w:rPr>
          <w:rFonts w:ascii="仿宋" w:hAnsi="仿宋" w:eastAsia="仿宋" w:cs="宋体Y."/>
          <w:b/>
          <w:color w:val="FF0000"/>
          <w:kern w:val="0"/>
          <w:szCs w:val="21"/>
        </w:rPr>
        <w:t>1.</w:t>
      </w:r>
      <w:r>
        <w:rPr>
          <w:rFonts w:hint="eastAsia" w:ascii="仿宋" w:hAnsi="仿宋" w:eastAsia="仿宋" w:cs="宋体Y."/>
          <w:b/>
          <w:color w:val="FF0000"/>
          <w:kern w:val="0"/>
          <w:szCs w:val="21"/>
        </w:rPr>
        <w:t>本金及理财收益风险：本产品有投资风险，不保障理财资金本金，也不保证理财收益，您应充分认识投资风险，谨慎投资。本产品不保证本金，即投资者持有本产品到期或</w:t>
      </w:r>
      <w:r>
        <w:rPr>
          <w:rFonts w:hint="eastAsia" w:ascii="仿宋" w:hAnsi="仿宋" w:eastAsia="仿宋" w:cs="ﾋﾎﾌ蚰ﾅﾝ.."/>
          <w:b/>
          <w:color w:val="FF0000"/>
          <w:kern w:val="0"/>
          <w:szCs w:val="21"/>
        </w:rPr>
        <w:t>江南农村商业银行</w:t>
      </w:r>
      <w:r>
        <w:rPr>
          <w:rFonts w:hint="eastAsia" w:ascii="仿宋" w:hAnsi="仿宋" w:eastAsia="仿宋" w:cs="宋体Y."/>
          <w:b/>
          <w:color w:val="FF0000"/>
          <w:kern w:val="0"/>
          <w:szCs w:val="21"/>
        </w:rPr>
        <w:t>提前终止该产品时，不承诺理财本金保证。本产品的最高理财收益为投资者购买时公布的预期年化收益率，不随市场利率波动而变化。</w:t>
      </w:r>
    </w:p>
    <w:p>
      <w:pPr>
        <w:autoSpaceDE w:val="0"/>
        <w:autoSpaceDN w:val="0"/>
        <w:adjustRightInd w:val="0"/>
        <w:rPr>
          <w:rFonts w:ascii="仿宋" w:hAnsi="仿宋" w:eastAsia="仿宋" w:cs="宋体Y."/>
          <w:b/>
          <w:kern w:val="0"/>
          <w:szCs w:val="21"/>
        </w:rPr>
      </w:pPr>
      <w:r>
        <w:rPr>
          <w:rFonts w:ascii="仿宋" w:hAnsi="仿宋" w:eastAsia="仿宋" w:cs="宋体Y."/>
          <w:b/>
          <w:kern w:val="0"/>
          <w:szCs w:val="21"/>
        </w:rPr>
        <w:t>2.</w:t>
      </w:r>
      <w:r>
        <w:rPr>
          <w:rFonts w:hint="eastAsia" w:ascii="仿宋" w:hAnsi="仿宋" w:eastAsia="仿宋" w:cs="宋体Y."/>
          <w:b/>
          <w:kern w:val="0"/>
          <w:szCs w:val="21"/>
        </w:rPr>
        <w:t>理财产品认购风险：如出现市场剧烈波动、相关法规政策变化或其他可能影响本产品正常运作的情况，</w:t>
      </w:r>
      <w:r>
        <w:rPr>
          <w:rFonts w:hint="eastAsia" w:ascii="仿宋" w:hAnsi="仿宋" w:eastAsia="仿宋" w:cs="ﾋﾎﾌ蚰ﾅﾝ.."/>
          <w:b/>
          <w:kern w:val="0"/>
          <w:szCs w:val="21"/>
        </w:rPr>
        <w:t>江南农村商业银行</w:t>
      </w:r>
      <w:r>
        <w:rPr>
          <w:rFonts w:hint="eastAsia" w:ascii="仿宋" w:hAnsi="仿宋" w:eastAsia="仿宋" w:cs="宋体Y."/>
          <w:b/>
          <w:kern w:val="0"/>
          <w:szCs w:val="21"/>
        </w:rPr>
        <w:t>有权停止报价，投资者将无法在约定的认购时间内购买本产品，因此造成的任何损失，由投资者自行承担，</w:t>
      </w:r>
      <w:r>
        <w:rPr>
          <w:rFonts w:hint="eastAsia" w:ascii="仿宋" w:hAnsi="仿宋" w:eastAsia="仿宋" w:cs="ﾋﾎﾌ蚰ﾅﾝ.."/>
          <w:b/>
          <w:kern w:val="0"/>
          <w:szCs w:val="21"/>
        </w:rPr>
        <w:t>江南农村商业银行</w:t>
      </w:r>
      <w:r>
        <w:rPr>
          <w:rFonts w:hint="eastAsia" w:ascii="仿宋" w:hAnsi="仿宋" w:eastAsia="仿宋" w:cs="宋体Y."/>
          <w:b/>
          <w:kern w:val="0"/>
          <w:szCs w:val="21"/>
        </w:rPr>
        <w:t>对此不承担任何责任。</w:t>
      </w:r>
    </w:p>
    <w:p>
      <w:pPr>
        <w:pStyle w:val="23"/>
        <w:jc w:val="both"/>
        <w:rPr>
          <w:rFonts w:ascii="仿宋" w:hAnsi="仿宋" w:eastAsia="仿宋" w:cs="宋体Y."/>
          <w:b/>
          <w:color w:val="auto"/>
          <w:sz w:val="21"/>
          <w:szCs w:val="21"/>
        </w:rPr>
      </w:pPr>
      <w:r>
        <w:rPr>
          <w:rFonts w:ascii="仿宋" w:hAnsi="仿宋" w:eastAsia="仿宋" w:cs="宋体Y."/>
          <w:b/>
          <w:color w:val="auto"/>
          <w:sz w:val="21"/>
          <w:szCs w:val="21"/>
        </w:rPr>
        <w:t>3.</w:t>
      </w:r>
      <w:r>
        <w:rPr>
          <w:rFonts w:hint="eastAsia" w:ascii="仿宋" w:hAnsi="仿宋" w:eastAsia="仿宋" w:cs="宋体Y."/>
          <w:b/>
          <w:color w:val="auto"/>
          <w:sz w:val="21"/>
          <w:szCs w:val="21"/>
        </w:rPr>
        <w:t>政策风险：本产品是针对当前的相关法规和政策设计的。如国家宏观政策以及市场相关法规政策发生变化，可能影响理财产品的受理、投资、偿还等的正常进行，甚至导致本产品收益降低甚至本金损失。</w:t>
      </w:r>
    </w:p>
    <w:p>
      <w:pPr>
        <w:autoSpaceDE w:val="0"/>
        <w:autoSpaceDN w:val="0"/>
        <w:adjustRightInd w:val="0"/>
        <w:rPr>
          <w:rFonts w:ascii="仿宋" w:hAnsi="仿宋" w:eastAsia="仿宋" w:cs="宋体Y."/>
          <w:b/>
          <w:kern w:val="0"/>
          <w:szCs w:val="21"/>
        </w:rPr>
      </w:pPr>
      <w:r>
        <w:rPr>
          <w:rFonts w:hint="eastAsia" w:ascii="仿宋" w:hAnsi="仿宋" w:eastAsia="仿宋" w:cs="宋体Y."/>
          <w:b/>
          <w:kern w:val="0"/>
          <w:szCs w:val="21"/>
        </w:rPr>
        <w:t>4</w:t>
      </w:r>
      <w:r>
        <w:rPr>
          <w:rFonts w:ascii="仿宋" w:hAnsi="仿宋" w:eastAsia="仿宋" w:cs="宋体Y."/>
          <w:b/>
          <w:kern w:val="0"/>
          <w:szCs w:val="21"/>
        </w:rPr>
        <w:t>.</w:t>
      </w:r>
      <w:r>
        <w:rPr>
          <w:rFonts w:hint="eastAsia" w:ascii="仿宋" w:hAnsi="仿宋" w:eastAsia="仿宋" w:cs="宋体Y."/>
          <w:b/>
          <w:kern w:val="0"/>
          <w:szCs w:val="21"/>
        </w:rPr>
        <w:t>市场风险：本产品的预期最高年化收益率根据投资者认购时公布的收益率确定，在理财运营期内，市场利率调整，本产品的收益率不随市场利率的调整而调整，由此产生的利率风险由投资者自行承担。</w:t>
      </w:r>
    </w:p>
    <w:p>
      <w:pPr>
        <w:autoSpaceDE w:val="0"/>
        <w:autoSpaceDN w:val="0"/>
        <w:adjustRightInd w:val="0"/>
        <w:rPr>
          <w:rFonts w:ascii="仿宋" w:hAnsi="仿宋" w:eastAsia="仿宋" w:cs="宋体Y."/>
          <w:b/>
          <w:kern w:val="0"/>
          <w:szCs w:val="21"/>
        </w:rPr>
      </w:pPr>
      <w:r>
        <w:rPr>
          <w:rFonts w:hint="eastAsia" w:ascii="仿宋" w:hAnsi="仿宋" w:eastAsia="仿宋" w:cs="宋体Y."/>
          <w:b/>
          <w:kern w:val="0"/>
          <w:szCs w:val="21"/>
        </w:rPr>
        <w:t>5</w:t>
      </w:r>
      <w:r>
        <w:rPr>
          <w:rFonts w:ascii="仿宋" w:hAnsi="仿宋" w:eastAsia="仿宋" w:cs="宋体Y."/>
          <w:b/>
          <w:kern w:val="0"/>
          <w:szCs w:val="21"/>
        </w:rPr>
        <w:t>.</w:t>
      </w:r>
      <w:r>
        <w:rPr>
          <w:rFonts w:hint="eastAsia" w:ascii="仿宋" w:hAnsi="仿宋" w:eastAsia="仿宋" w:cs="宋体Y."/>
          <w:b/>
          <w:kern w:val="0"/>
          <w:szCs w:val="21"/>
        </w:rPr>
        <w:t>流动性风险：本产品存续期间，投资者只能在本产品说明书规定的时间内办理认购，理财产品成立后投资者不享有提前赎回权利。</w:t>
      </w:r>
    </w:p>
    <w:p>
      <w:pPr>
        <w:autoSpaceDE w:val="0"/>
        <w:autoSpaceDN w:val="0"/>
        <w:adjustRightInd w:val="0"/>
        <w:rPr>
          <w:rFonts w:ascii="仿宋" w:hAnsi="仿宋" w:eastAsia="仿宋" w:cs="宋体Y."/>
          <w:b/>
          <w:kern w:val="0"/>
          <w:szCs w:val="21"/>
        </w:rPr>
      </w:pPr>
      <w:r>
        <w:rPr>
          <w:rFonts w:hint="eastAsia" w:ascii="仿宋" w:hAnsi="仿宋" w:eastAsia="仿宋" w:cs="宋体Y."/>
          <w:b/>
          <w:kern w:val="0"/>
          <w:szCs w:val="21"/>
        </w:rPr>
        <w:t>6</w:t>
      </w:r>
      <w:r>
        <w:rPr>
          <w:rFonts w:ascii="仿宋" w:hAnsi="仿宋" w:eastAsia="仿宋" w:cs="宋体Y."/>
          <w:b/>
          <w:kern w:val="0"/>
          <w:szCs w:val="21"/>
        </w:rPr>
        <w:t>.</w:t>
      </w:r>
      <w:r>
        <w:rPr>
          <w:rFonts w:hint="eastAsia" w:ascii="仿宋" w:hAnsi="仿宋" w:eastAsia="仿宋" w:cs="宋体Y."/>
          <w:b/>
          <w:kern w:val="0"/>
          <w:szCs w:val="21"/>
        </w:rPr>
        <w:t>信息传递风险：本产品存续期内不提供估值，不提供账单，投资者应根据本产品说明书所载明的公告方式及时查询本产品的相关信息。</w:t>
      </w:r>
      <w:r>
        <w:rPr>
          <w:rFonts w:hint="eastAsia" w:ascii="仿宋" w:hAnsi="仿宋" w:eastAsia="仿宋" w:cs="ﾋﾎﾌ蚰ﾅﾝ.."/>
          <w:b/>
          <w:kern w:val="0"/>
          <w:szCs w:val="21"/>
        </w:rPr>
        <w:t>江南农村商业银行</w:t>
      </w:r>
      <w:r>
        <w:rPr>
          <w:rFonts w:hint="eastAsia" w:ascii="仿宋" w:hAnsi="仿宋" w:eastAsia="仿宋" w:cs="宋体Y."/>
          <w:b/>
          <w:kern w:val="0"/>
          <w:szCs w:val="21"/>
        </w:rPr>
        <w:t>按照本产品说明书有关</w:t>
      </w:r>
      <w:r>
        <w:rPr>
          <w:rFonts w:ascii="仿宋" w:hAnsi="仿宋" w:eastAsia="仿宋" w:cs="宋体Y."/>
          <w:b/>
          <w:kern w:val="0"/>
          <w:szCs w:val="21"/>
        </w:rPr>
        <w:t>“</w:t>
      </w:r>
      <w:r>
        <w:rPr>
          <w:rFonts w:hint="eastAsia" w:ascii="仿宋" w:hAnsi="仿宋" w:eastAsia="仿宋" w:cs="宋体Y."/>
          <w:b/>
          <w:kern w:val="0"/>
          <w:szCs w:val="21"/>
        </w:rPr>
        <w:t>信息公告</w:t>
      </w:r>
      <w:r>
        <w:rPr>
          <w:rFonts w:ascii="仿宋" w:hAnsi="仿宋" w:eastAsia="仿宋" w:cs="宋体Y."/>
          <w:b/>
          <w:kern w:val="0"/>
          <w:szCs w:val="21"/>
        </w:rPr>
        <w:t>”</w:t>
      </w:r>
      <w:r>
        <w:rPr>
          <w:rFonts w:hint="eastAsia" w:ascii="仿宋" w:hAnsi="仿宋" w:eastAsia="仿宋" w:cs="宋体Y."/>
          <w:b/>
          <w:kern w:val="0"/>
          <w:szCs w:val="21"/>
        </w:rPr>
        <w:t>的约定，发布理财产品的信息公告。投资者应根据</w:t>
      </w:r>
      <w:r>
        <w:rPr>
          <w:rFonts w:ascii="仿宋" w:hAnsi="仿宋" w:eastAsia="仿宋" w:cs="宋体Y."/>
          <w:b/>
          <w:kern w:val="0"/>
          <w:szCs w:val="21"/>
        </w:rPr>
        <w:t>“</w:t>
      </w:r>
      <w:r>
        <w:rPr>
          <w:rFonts w:hint="eastAsia" w:ascii="仿宋" w:hAnsi="仿宋" w:eastAsia="仿宋" w:cs="宋体Y."/>
          <w:b/>
          <w:kern w:val="0"/>
          <w:szCs w:val="21"/>
        </w:rPr>
        <w:t>信息公告</w:t>
      </w:r>
      <w:r>
        <w:rPr>
          <w:rFonts w:ascii="仿宋" w:hAnsi="仿宋" w:eastAsia="仿宋" w:cs="宋体Y."/>
          <w:b/>
          <w:kern w:val="0"/>
          <w:szCs w:val="21"/>
        </w:rPr>
        <w:t>”</w:t>
      </w:r>
      <w:r>
        <w:rPr>
          <w:rFonts w:hint="eastAsia" w:ascii="仿宋" w:hAnsi="仿宋" w:eastAsia="仿宋" w:cs="宋体Y."/>
          <w:b/>
          <w:kern w:val="0"/>
          <w:szCs w:val="21"/>
        </w:rPr>
        <w:t>的约定及时登录</w:t>
      </w:r>
      <w:r>
        <w:rPr>
          <w:rFonts w:hint="eastAsia" w:ascii="仿宋" w:hAnsi="仿宋" w:eastAsia="仿宋" w:cs="ﾋﾎﾌ蚰ﾅﾝ.."/>
          <w:b/>
          <w:kern w:val="0"/>
          <w:szCs w:val="21"/>
        </w:rPr>
        <w:t>江南农村商业银行</w:t>
      </w:r>
      <w:r>
        <w:rPr>
          <w:rFonts w:hint="eastAsia" w:ascii="仿宋" w:hAnsi="仿宋" w:eastAsia="仿宋" w:cs="宋体Y."/>
          <w:b/>
          <w:kern w:val="0"/>
          <w:szCs w:val="21"/>
        </w:rPr>
        <w:t>官方网站（www.jnbank.com.cn</w:t>
      </w:r>
      <w:r>
        <w:rPr>
          <w:rFonts w:ascii="仿宋" w:hAnsi="仿宋" w:eastAsia="仿宋" w:cs="宋体Y."/>
          <w:b/>
          <w:kern w:val="0"/>
          <w:szCs w:val="21"/>
        </w:rPr>
        <w:t>）</w:t>
      </w:r>
      <w:r>
        <w:rPr>
          <w:rFonts w:hint="eastAsia" w:ascii="仿宋" w:hAnsi="仿宋" w:eastAsia="仿宋" w:cs="宋体Y."/>
          <w:b/>
          <w:kern w:val="0"/>
          <w:szCs w:val="21"/>
        </w:rPr>
        <w:t>或致电</w:t>
      </w:r>
      <w:r>
        <w:rPr>
          <w:rFonts w:hint="eastAsia" w:ascii="仿宋" w:hAnsi="仿宋" w:eastAsia="仿宋" w:cs="ﾋﾎﾌ蚰ﾅﾝ.."/>
          <w:b/>
          <w:kern w:val="0"/>
          <w:szCs w:val="21"/>
        </w:rPr>
        <w:t>江南农村商业银行</w:t>
      </w:r>
      <w:r>
        <w:rPr>
          <w:rFonts w:hint="eastAsia" w:ascii="仿宋" w:hAnsi="仿宋" w:eastAsia="仿宋" w:cs="宋体Y."/>
          <w:b/>
          <w:kern w:val="0"/>
          <w:szCs w:val="21"/>
        </w:rPr>
        <w:t>全国统一客户服务热线（0519-96005）或到</w:t>
      </w:r>
      <w:r>
        <w:rPr>
          <w:rFonts w:hint="eastAsia" w:ascii="仿宋" w:hAnsi="仿宋" w:eastAsia="仿宋" w:cs="ﾋﾎﾌ蚰ﾅﾝ.."/>
          <w:b/>
          <w:kern w:val="0"/>
          <w:szCs w:val="21"/>
        </w:rPr>
        <w:t>江南农村商业银行（或代销机构）</w:t>
      </w:r>
      <w:r>
        <w:rPr>
          <w:rFonts w:hint="eastAsia" w:ascii="仿宋" w:hAnsi="仿宋" w:eastAsia="仿宋" w:cs="宋体Y."/>
          <w:b/>
          <w:kern w:val="0"/>
          <w:szCs w:val="21"/>
        </w:rPr>
        <w:t>销售网点查询。如果投资者未及时查询，或由于通讯故障、系统故障以及其他不可抗力等因素的影响使得投资者无法及时了解理财产品信息，并由此影响投资者的投资决策，因此而产生的责任和风险由投资者自行承担。另外，投资者预留在</w:t>
      </w:r>
      <w:r>
        <w:rPr>
          <w:rFonts w:hint="eastAsia" w:ascii="仿宋" w:hAnsi="仿宋" w:eastAsia="仿宋" w:cs="ﾋﾎﾌ蚰ﾅﾝ.."/>
          <w:b/>
          <w:kern w:val="0"/>
          <w:szCs w:val="21"/>
        </w:rPr>
        <w:t>江南农村商业银行（或代销机构）</w:t>
      </w:r>
      <w:r>
        <w:rPr>
          <w:rFonts w:hint="eastAsia" w:ascii="仿宋" w:hAnsi="仿宋" w:eastAsia="仿宋" w:cs="宋体Y."/>
          <w:b/>
          <w:kern w:val="0"/>
          <w:szCs w:val="21"/>
        </w:rPr>
        <w:t>的有效联系方式变更的，应及时通知</w:t>
      </w:r>
      <w:r>
        <w:rPr>
          <w:rFonts w:hint="eastAsia" w:ascii="仿宋" w:hAnsi="仿宋" w:eastAsia="仿宋" w:cs="ﾋﾎﾌ蚰ﾅﾝ.."/>
          <w:b/>
          <w:kern w:val="0"/>
          <w:szCs w:val="21"/>
        </w:rPr>
        <w:t>江南农村商业银行（或代销机构）</w:t>
      </w:r>
      <w:r>
        <w:rPr>
          <w:rFonts w:hint="eastAsia" w:ascii="仿宋" w:hAnsi="仿宋" w:eastAsia="仿宋" w:cs="宋体Y."/>
          <w:b/>
          <w:kern w:val="0"/>
          <w:szCs w:val="21"/>
        </w:rPr>
        <w:t>。如投资者未及时告知联系方式变更或因投资者其他原因导致</w:t>
      </w:r>
      <w:r>
        <w:rPr>
          <w:rFonts w:hint="eastAsia" w:ascii="仿宋" w:hAnsi="仿宋" w:eastAsia="仿宋" w:cs="ﾋﾎﾌ蚰ﾅﾝ.."/>
          <w:b/>
          <w:kern w:val="0"/>
          <w:szCs w:val="21"/>
        </w:rPr>
        <w:t>江南农村商业银行（或代销机构）</w:t>
      </w:r>
      <w:r>
        <w:rPr>
          <w:rFonts w:hint="eastAsia" w:ascii="仿宋" w:hAnsi="仿宋" w:eastAsia="仿宋" w:cs="宋体Y."/>
          <w:b/>
          <w:kern w:val="0"/>
          <w:szCs w:val="21"/>
        </w:rPr>
        <w:t>在需要联系投资者时无法及时联系上，则可能会影响投资者的投资决策，由此而产生的责任和风险由投资者自行承担。</w:t>
      </w:r>
    </w:p>
    <w:p>
      <w:pPr>
        <w:autoSpaceDE w:val="0"/>
        <w:autoSpaceDN w:val="0"/>
        <w:adjustRightInd w:val="0"/>
        <w:jc w:val="left"/>
        <w:rPr>
          <w:rFonts w:ascii="仿宋" w:hAnsi="仿宋" w:eastAsia="仿宋" w:cs="宋体Y."/>
          <w:b/>
          <w:kern w:val="0"/>
          <w:szCs w:val="21"/>
        </w:rPr>
      </w:pPr>
      <w:r>
        <w:rPr>
          <w:rFonts w:hint="eastAsia" w:ascii="仿宋" w:hAnsi="仿宋" w:eastAsia="仿宋" w:cs="宋体Y."/>
          <w:b/>
          <w:kern w:val="0"/>
          <w:szCs w:val="21"/>
        </w:rPr>
        <w:t>7</w:t>
      </w:r>
      <w:r>
        <w:rPr>
          <w:rFonts w:ascii="仿宋" w:hAnsi="仿宋" w:eastAsia="仿宋" w:cs="宋体Y."/>
          <w:b/>
          <w:kern w:val="0"/>
          <w:szCs w:val="21"/>
        </w:rPr>
        <w:t>.</w:t>
      </w:r>
      <w:r>
        <w:rPr>
          <w:rFonts w:hint="eastAsia" w:ascii="仿宋" w:hAnsi="仿宋" w:eastAsia="仿宋" w:cs="宋体Y."/>
          <w:b/>
          <w:kern w:val="0"/>
          <w:szCs w:val="21"/>
        </w:rPr>
        <w:t>理财产品不成立风险：如自本产品开始认购至理财产品原定成立日之前，理财产品认购总金额未达到规模下限（如有约定），或国家宏观政策以及市场相关法规政策发生变化，或市场发生剧烈波动，经江南农村商业银行合理判断难以按照本产品说明书规定向客户提供本产品时，江南农村商业银行有权宣布该理财产品不成立。</w:t>
      </w:r>
    </w:p>
    <w:p>
      <w:pPr>
        <w:autoSpaceDE w:val="0"/>
        <w:autoSpaceDN w:val="0"/>
        <w:adjustRightInd w:val="0"/>
        <w:rPr>
          <w:rFonts w:ascii="仿宋" w:hAnsi="仿宋" w:eastAsia="仿宋" w:cs="宋体Y."/>
          <w:b/>
          <w:kern w:val="0"/>
          <w:szCs w:val="21"/>
        </w:rPr>
      </w:pPr>
      <w:r>
        <w:rPr>
          <w:rFonts w:hint="eastAsia" w:ascii="仿宋" w:hAnsi="仿宋" w:eastAsia="仿宋" w:cs="宋体Y."/>
          <w:b/>
          <w:kern w:val="0"/>
          <w:szCs w:val="21"/>
        </w:rPr>
        <w:t>8</w:t>
      </w:r>
      <w:r>
        <w:rPr>
          <w:rFonts w:ascii="仿宋" w:hAnsi="仿宋" w:eastAsia="仿宋" w:cs="宋体Y."/>
          <w:b/>
          <w:kern w:val="0"/>
          <w:szCs w:val="21"/>
        </w:rPr>
        <w:t>.</w:t>
      </w:r>
      <w:r>
        <w:rPr>
          <w:rFonts w:hint="eastAsia" w:ascii="仿宋" w:hAnsi="仿宋" w:eastAsia="仿宋" w:cs="宋体Y."/>
          <w:b/>
          <w:kern w:val="0"/>
          <w:szCs w:val="21"/>
        </w:rPr>
        <w:t>再投资风险：江南农村商业银行有权但无义务提前终止本产品。如江南农村商业银行提前终止本产品，则该理财产品的实际理财期可能小于预定期限。如果理财产品提前终止</w:t>
      </w:r>
      <w:r>
        <w:rPr>
          <w:rFonts w:ascii="仿宋" w:hAnsi="仿宋" w:eastAsia="仿宋" w:cs="宋体Y."/>
          <w:b/>
          <w:kern w:val="0"/>
          <w:szCs w:val="21"/>
        </w:rPr>
        <w:t>,</w:t>
      </w:r>
      <w:r>
        <w:rPr>
          <w:rFonts w:hint="eastAsia" w:ascii="仿宋" w:hAnsi="仿宋" w:eastAsia="仿宋" w:cs="宋体Y."/>
          <w:b/>
          <w:kern w:val="0"/>
          <w:szCs w:val="21"/>
        </w:rPr>
        <w:t>则投资者将无法实现期初预期的全部收益。</w:t>
      </w:r>
    </w:p>
    <w:p>
      <w:pPr>
        <w:rPr>
          <w:rFonts w:ascii="仿宋" w:hAnsi="仿宋" w:eastAsia="仿宋" w:cs="宋体Y."/>
          <w:b/>
          <w:kern w:val="0"/>
          <w:szCs w:val="21"/>
        </w:rPr>
      </w:pPr>
      <w:r>
        <w:rPr>
          <w:rFonts w:hint="eastAsia" w:ascii="仿宋" w:hAnsi="仿宋" w:eastAsia="仿宋" w:cs="宋体Y."/>
          <w:b/>
          <w:kern w:val="0"/>
          <w:szCs w:val="21"/>
        </w:rPr>
        <w:t>9</w:t>
      </w:r>
      <w:r>
        <w:rPr>
          <w:rFonts w:ascii="仿宋" w:hAnsi="仿宋" w:eastAsia="仿宋" w:cs="宋体Y."/>
          <w:b/>
          <w:kern w:val="0"/>
          <w:szCs w:val="21"/>
        </w:rPr>
        <w:t>.</w:t>
      </w:r>
      <w:r>
        <w:rPr>
          <w:rFonts w:hint="eastAsia" w:ascii="仿宋" w:hAnsi="仿宋" w:eastAsia="仿宋" w:cs="宋体Y."/>
          <w:b/>
          <w:kern w:val="0"/>
          <w:szCs w:val="21"/>
        </w:rPr>
        <w:t>不可抗力风险：自然灾害、战争等不可抗力因素的出现，将严重影响金融市场的正常运行，可能影响理财产品的受理、投资、偿还等的正常进行，甚至导致本产品收益降低甚至本金损失。对于由不可抗力风险所导致的任何损失，由投资者自行承担，江南农村商业银行对此不承担任何责任。</w:t>
      </w:r>
    </w:p>
    <w:p>
      <w:pPr>
        <w:rPr>
          <w:rFonts w:ascii="仿宋" w:hAnsi="仿宋" w:eastAsia="仿宋" w:cs="ﾋﾎﾌ蚰ﾅﾝ.."/>
          <w:b/>
          <w:kern w:val="0"/>
          <w:szCs w:val="21"/>
        </w:rPr>
      </w:pPr>
    </w:p>
    <w:p>
      <w:pPr>
        <w:rPr>
          <w:rFonts w:ascii="仿宋" w:hAnsi="仿宋" w:eastAsia="仿宋"/>
          <w:b/>
          <w:bCs/>
          <w:szCs w:val="21"/>
        </w:rPr>
      </w:pPr>
      <w:r>
        <w:rPr>
          <w:rFonts w:hint="eastAsia" w:ascii="仿宋" w:hAnsi="仿宋" w:eastAsia="仿宋"/>
          <w:b/>
          <w:szCs w:val="21"/>
        </w:rPr>
        <w:t>三、风险评级</w:t>
      </w:r>
      <w:r>
        <w:rPr>
          <w:rFonts w:ascii="仿宋" w:hAnsi="仿宋" w:eastAsia="仿宋"/>
          <w:b/>
          <w:bCs/>
          <w:color w:val="FF0000"/>
          <w:szCs w:val="21"/>
        </w:rPr>
        <w:t>★★</w:t>
      </w:r>
    </w:p>
    <w:tbl>
      <w:tblPr>
        <w:tblStyle w:val="18"/>
        <w:tblW w:w="85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3"/>
        <w:gridCol w:w="1661"/>
        <w:gridCol w:w="1661"/>
        <w:gridCol w:w="3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vAlign w:val="center"/>
          </w:tcPr>
          <w:p>
            <w:pPr>
              <w:spacing w:line="340" w:lineRule="exact"/>
              <w:jc w:val="center"/>
              <w:rPr>
                <w:rFonts w:ascii="仿宋" w:hAnsi="仿宋" w:eastAsia="仿宋"/>
                <w:b/>
                <w:szCs w:val="21"/>
              </w:rPr>
            </w:pPr>
            <w:r>
              <w:rPr>
                <w:rFonts w:ascii="仿宋" w:hAnsi="仿宋" w:eastAsia="仿宋"/>
                <w:b/>
                <w:szCs w:val="21"/>
              </w:rPr>
              <w:t>产品风险星级</w:t>
            </w:r>
          </w:p>
        </w:tc>
        <w:tc>
          <w:tcPr>
            <w:tcW w:w="1661" w:type="dxa"/>
            <w:vAlign w:val="center"/>
          </w:tcPr>
          <w:p>
            <w:pPr>
              <w:spacing w:line="340" w:lineRule="exact"/>
              <w:jc w:val="center"/>
              <w:rPr>
                <w:rFonts w:ascii="仿宋" w:hAnsi="仿宋" w:eastAsia="仿宋"/>
                <w:b/>
                <w:szCs w:val="21"/>
              </w:rPr>
            </w:pPr>
            <w:r>
              <w:rPr>
                <w:rFonts w:hint="eastAsia" w:ascii="仿宋" w:hAnsi="仿宋" w:eastAsia="仿宋"/>
                <w:b/>
                <w:szCs w:val="21"/>
              </w:rPr>
              <w:t>产品</w:t>
            </w:r>
            <w:r>
              <w:rPr>
                <w:rFonts w:ascii="仿宋" w:hAnsi="仿宋" w:eastAsia="仿宋"/>
                <w:b/>
                <w:szCs w:val="21"/>
              </w:rPr>
              <w:t>风险程度</w:t>
            </w:r>
          </w:p>
        </w:tc>
        <w:tc>
          <w:tcPr>
            <w:tcW w:w="1661" w:type="dxa"/>
          </w:tcPr>
          <w:p>
            <w:pPr>
              <w:spacing w:line="340" w:lineRule="exact"/>
              <w:jc w:val="center"/>
              <w:rPr>
                <w:rFonts w:ascii="仿宋" w:hAnsi="仿宋" w:eastAsia="仿宋"/>
                <w:b/>
                <w:szCs w:val="21"/>
              </w:rPr>
            </w:pPr>
            <w:r>
              <w:rPr>
                <w:rFonts w:ascii="仿宋" w:hAnsi="仿宋" w:eastAsia="仿宋"/>
                <w:b/>
                <w:szCs w:val="21"/>
              </w:rPr>
              <w:t>适合的投资人</w:t>
            </w:r>
          </w:p>
        </w:tc>
        <w:tc>
          <w:tcPr>
            <w:tcW w:w="3387" w:type="dxa"/>
          </w:tcPr>
          <w:p>
            <w:pPr>
              <w:spacing w:line="340" w:lineRule="exact"/>
              <w:jc w:val="center"/>
              <w:rPr>
                <w:rFonts w:ascii="仿宋" w:hAnsi="仿宋" w:eastAsia="仿宋"/>
                <w:b/>
                <w:szCs w:val="21"/>
              </w:rPr>
            </w:pPr>
            <w:r>
              <w:rPr>
                <w:rFonts w:hint="eastAsia" w:ascii="仿宋" w:hAnsi="仿宋" w:eastAsia="仿宋"/>
                <w:b/>
                <w:szCs w:val="21"/>
              </w:rPr>
              <w:t>评级说明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shd w:val="clear" w:color="auto" w:fill="auto"/>
            <w:vAlign w:val="center"/>
          </w:tcPr>
          <w:p>
            <w:pPr>
              <w:spacing w:line="340" w:lineRule="exact"/>
              <w:ind w:firstLine="422" w:firstLineChars="200"/>
              <w:rPr>
                <w:rFonts w:ascii="仿宋" w:hAnsi="仿宋" w:eastAsia="仿宋"/>
                <w:bCs/>
                <w:szCs w:val="21"/>
              </w:rPr>
            </w:pPr>
            <w:r>
              <w:rPr>
                <w:rFonts w:ascii="仿宋" w:hAnsi="仿宋" w:eastAsia="仿宋"/>
                <w:b/>
                <w:bCs/>
                <w:szCs w:val="21"/>
              </w:rPr>
              <w:t>★</w:t>
            </w:r>
          </w:p>
        </w:tc>
        <w:tc>
          <w:tcPr>
            <w:tcW w:w="1661" w:type="dxa"/>
            <w:shd w:val="clear" w:color="auto" w:fill="auto"/>
            <w:vAlign w:val="center"/>
          </w:tcPr>
          <w:p>
            <w:pPr>
              <w:spacing w:line="340" w:lineRule="exact"/>
              <w:ind w:firstLine="420" w:firstLineChars="200"/>
              <w:rPr>
                <w:rFonts w:ascii="仿宋" w:hAnsi="仿宋" w:eastAsia="仿宋"/>
                <w:szCs w:val="21"/>
              </w:rPr>
            </w:pPr>
            <w:r>
              <w:rPr>
                <w:rFonts w:ascii="仿宋" w:hAnsi="仿宋" w:eastAsia="仿宋"/>
                <w:szCs w:val="21"/>
              </w:rPr>
              <w:t>低</w:t>
            </w:r>
          </w:p>
        </w:tc>
        <w:tc>
          <w:tcPr>
            <w:tcW w:w="1661" w:type="dxa"/>
            <w:shd w:val="clear" w:color="auto" w:fill="auto"/>
            <w:vAlign w:val="center"/>
          </w:tcPr>
          <w:p>
            <w:pPr>
              <w:spacing w:line="340" w:lineRule="exact"/>
              <w:ind w:firstLine="420" w:firstLineChars="200"/>
              <w:rPr>
                <w:rFonts w:ascii="仿宋" w:hAnsi="仿宋" w:eastAsia="仿宋"/>
                <w:szCs w:val="21"/>
              </w:rPr>
            </w:pPr>
            <w:r>
              <w:rPr>
                <w:rFonts w:ascii="仿宋" w:hAnsi="仿宋" w:eastAsia="仿宋"/>
                <w:szCs w:val="21"/>
              </w:rPr>
              <w:t>谨慎型</w:t>
            </w:r>
          </w:p>
        </w:tc>
        <w:tc>
          <w:tcPr>
            <w:tcW w:w="3387" w:type="dxa"/>
            <w:shd w:val="clear" w:color="auto" w:fill="auto"/>
          </w:tcPr>
          <w:p>
            <w:pPr>
              <w:spacing w:line="340" w:lineRule="exact"/>
              <w:rPr>
                <w:rFonts w:ascii="仿宋" w:hAnsi="仿宋" w:eastAsia="仿宋"/>
                <w:szCs w:val="21"/>
              </w:rPr>
            </w:pPr>
            <w:r>
              <w:rPr>
                <w:rFonts w:hint="eastAsia" w:ascii="仿宋" w:hAnsi="仿宋" w:eastAsia="仿宋"/>
                <w:szCs w:val="21"/>
              </w:rPr>
              <w:t>提供本金及收益保障，或提供本金保障且预期收益不能实现的概率极低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shd w:val="clear" w:color="auto" w:fill="auto"/>
            <w:vAlign w:val="center"/>
          </w:tcPr>
          <w:p>
            <w:pPr>
              <w:spacing w:line="340" w:lineRule="exact"/>
              <w:ind w:firstLine="422" w:firstLineChars="200"/>
              <w:rPr>
                <w:rFonts w:ascii="仿宋" w:hAnsi="仿宋" w:eastAsia="仿宋"/>
                <w:b/>
                <w:bCs/>
                <w:szCs w:val="21"/>
              </w:rPr>
            </w:pPr>
            <w:r>
              <w:rPr>
                <w:rFonts w:ascii="仿宋" w:hAnsi="仿宋" w:eastAsia="仿宋"/>
                <w:b/>
                <w:bCs/>
                <w:szCs w:val="21"/>
              </w:rPr>
              <w:t>★★</w:t>
            </w:r>
          </w:p>
        </w:tc>
        <w:tc>
          <w:tcPr>
            <w:tcW w:w="1661" w:type="dxa"/>
            <w:shd w:val="clear" w:color="auto" w:fill="auto"/>
            <w:vAlign w:val="center"/>
          </w:tcPr>
          <w:p>
            <w:pPr>
              <w:spacing w:line="340" w:lineRule="exact"/>
              <w:ind w:firstLine="420" w:firstLineChars="200"/>
              <w:rPr>
                <w:rFonts w:ascii="仿宋" w:hAnsi="仿宋" w:eastAsia="仿宋"/>
                <w:szCs w:val="21"/>
              </w:rPr>
            </w:pPr>
            <w:r>
              <w:rPr>
                <w:rFonts w:hint="eastAsia" w:ascii="仿宋" w:hAnsi="仿宋" w:eastAsia="仿宋"/>
                <w:szCs w:val="21"/>
              </w:rPr>
              <w:t>中</w:t>
            </w:r>
            <w:r>
              <w:rPr>
                <w:rFonts w:ascii="仿宋" w:hAnsi="仿宋" w:eastAsia="仿宋"/>
                <w:szCs w:val="21"/>
              </w:rPr>
              <w:t>低</w:t>
            </w:r>
          </w:p>
        </w:tc>
        <w:tc>
          <w:tcPr>
            <w:tcW w:w="1661" w:type="dxa"/>
            <w:shd w:val="clear" w:color="auto" w:fill="auto"/>
            <w:vAlign w:val="center"/>
          </w:tcPr>
          <w:p>
            <w:pPr>
              <w:spacing w:line="340" w:lineRule="exact"/>
              <w:ind w:firstLine="420" w:firstLineChars="200"/>
              <w:rPr>
                <w:rFonts w:ascii="仿宋" w:hAnsi="仿宋" w:eastAsia="仿宋"/>
                <w:szCs w:val="21"/>
              </w:rPr>
            </w:pPr>
            <w:r>
              <w:rPr>
                <w:rFonts w:ascii="仿宋" w:hAnsi="仿宋" w:eastAsia="仿宋"/>
                <w:szCs w:val="21"/>
              </w:rPr>
              <w:t>稳健型</w:t>
            </w:r>
          </w:p>
        </w:tc>
        <w:tc>
          <w:tcPr>
            <w:tcW w:w="3387" w:type="dxa"/>
            <w:shd w:val="clear" w:color="auto" w:fill="auto"/>
          </w:tcPr>
          <w:p>
            <w:pPr>
              <w:spacing w:line="340" w:lineRule="exact"/>
              <w:rPr>
                <w:rFonts w:ascii="仿宋" w:hAnsi="仿宋" w:eastAsia="仿宋"/>
                <w:szCs w:val="21"/>
              </w:rPr>
            </w:pPr>
            <w:r>
              <w:rPr>
                <w:rFonts w:hint="eastAsia" w:ascii="仿宋" w:hAnsi="仿宋" w:eastAsia="仿宋"/>
                <w:szCs w:val="21"/>
              </w:rPr>
              <w:t>不提供本金保障，但本金亏损和预期收益不能实现的概率较低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vAlign w:val="center"/>
          </w:tcPr>
          <w:p>
            <w:pPr>
              <w:spacing w:line="340" w:lineRule="exact"/>
              <w:ind w:firstLine="422" w:firstLineChars="200"/>
              <w:rPr>
                <w:rFonts w:ascii="仿宋" w:hAnsi="仿宋" w:eastAsia="仿宋"/>
                <w:szCs w:val="21"/>
              </w:rPr>
            </w:pPr>
            <w:r>
              <w:rPr>
                <w:rFonts w:ascii="仿宋" w:hAnsi="仿宋" w:eastAsia="仿宋"/>
                <w:b/>
                <w:bCs/>
                <w:szCs w:val="21"/>
              </w:rPr>
              <w:t>★★★</w:t>
            </w:r>
          </w:p>
        </w:tc>
        <w:tc>
          <w:tcPr>
            <w:tcW w:w="1661" w:type="dxa"/>
            <w:vAlign w:val="center"/>
          </w:tcPr>
          <w:p>
            <w:pPr>
              <w:spacing w:line="340" w:lineRule="exact"/>
              <w:ind w:firstLine="420" w:firstLineChars="200"/>
              <w:rPr>
                <w:rFonts w:ascii="仿宋" w:hAnsi="仿宋" w:eastAsia="仿宋"/>
                <w:b/>
                <w:bCs/>
                <w:szCs w:val="21"/>
              </w:rPr>
            </w:pPr>
            <w:r>
              <w:rPr>
                <w:rFonts w:ascii="仿宋" w:hAnsi="仿宋" w:eastAsia="仿宋"/>
                <w:szCs w:val="21"/>
              </w:rPr>
              <w:t>中</w:t>
            </w:r>
          </w:p>
        </w:tc>
        <w:tc>
          <w:tcPr>
            <w:tcW w:w="1661" w:type="dxa"/>
            <w:vAlign w:val="center"/>
          </w:tcPr>
          <w:p>
            <w:pPr>
              <w:spacing w:line="340" w:lineRule="exact"/>
              <w:ind w:firstLine="420" w:firstLineChars="200"/>
              <w:rPr>
                <w:rFonts w:ascii="仿宋" w:hAnsi="仿宋" w:eastAsia="仿宋"/>
                <w:b/>
                <w:bCs/>
                <w:szCs w:val="21"/>
              </w:rPr>
            </w:pPr>
            <w:r>
              <w:rPr>
                <w:rFonts w:ascii="仿宋" w:hAnsi="仿宋" w:eastAsia="仿宋"/>
                <w:szCs w:val="21"/>
              </w:rPr>
              <w:t>平衡型</w:t>
            </w:r>
          </w:p>
        </w:tc>
        <w:tc>
          <w:tcPr>
            <w:tcW w:w="3387" w:type="dxa"/>
          </w:tcPr>
          <w:p>
            <w:pPr>
              <w:spacing w:line="340" w:lineRule="exact"/>
              <w:rPr>
                <w:rFonts w:ascii="仿宋" w:hAnsi="仿宋" w:eastAsia="仿宋"/>
                <w:b/>
                <w:bCs/>
                <w:szCs w:val="21"/>
              </w:rPr>
            </w:pPr>
            <w:r>
              <w:rPr>
                <w:rFonts w:hint="eastAsia" w:ascii="仿宋" w:hAnsi="仿宋" w:eastAsia="仿宋"/>
                <w:szCs w:val="21"/>
              </w:rPr>
              <w:t>不提供本金保障，但本金亏损的概率较低，预期收益实现存在一定的不确定性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vAlign w:val="center"/>
          </w:tcPr>
          <w:p>
            <w:pPr>
              <w:spacing w:line="340" w:lineRule="exact"/>
              <w:ind w:firstLine="422" w:firstLineChars="200"/>
              <w:rPr>
                <w:rFonts w:ascii="仿宋" w:hAnsi="仿宋" w:eastAsia="仿宋"/>
                <w:szCs w:val="21"/>
              </w:rPr>
            </w:pPr>
            <w:r>
              <w:rPr>
                <w:rFonts w:ascii="仿宋" w:hAnsi="仿宋" w:eastAsia="仿宋"/>
                <w:b/>
                <w:bCs/>
                <w:szCs w:val="21"/>
              </w:rPr>
              <w:t>★★★★</w:t>
            </w:r>
          </w:p>
        </w:tc>
        <w:tc>
          <w:tcPr>
            <w:tcW w:w="1661" w:type="dxa"/>
            <w:vAlign w:val="center"/>
          </w:tcPr>
          <w:p>
            <w:pPr>
              <w:spacing w:line="340" w:lineRule="exact"/>
              <w:ind w:firstLine="420" w:firstLineChars="200"/>
              <w:rPr>
                <w:rFonts w:ascii="仿宋" w:hAnsi="仿宋" w:eastAsia="仿宋"/>
                <w:szCs w:val="21"/>
              </w:rPr>
            </w:pPr>
            <w:r>
              <w:rPr>
                <w:rFonts w:hint="eastAsia" w:ascii="仿宋" w:hAnsi="仿宋" w:eastAsia="仿宋"/>
                <w:bCs/>
                <w:szCs w:val="21"/>
              </w:rPr>
              <w:t>中</w:t>
            </w:r>
            <w:r>
              <w:rPr>
                <w:rFonts w:ascii="仿宋" w:hAnsi="仿宋" w:eastAsia="仿宋"/>
                <w:bCs/>
                <w:szCs w:val="21"/>
              </w:rPr>
              <w:t>高</w:t>
            </w:r>
          </w:p>
        </w:tc>
        <w:tc>
          <w:tcPr>
            <w:tcW w:w="1661" w:type="dxa"/>
            <w:vAlign w:val="center"/>
          </w:tcPr>
          <w:p>
            <w:pPr>
              <w:spacing w:line="340" w:lineRule="exact"/>
              <w:ind w:firstLine="420" w:firstLineChars="200"/>
              <w:rPr>
                <w:rFonts w:ascii="仿宋" w:hAnsi="仿宋" w:eastAsia="仿宋"/>
                <w:szCs w:val="21"/>
              </w:rPr>
            </w:pPr>
            <w:r>
              <w:rPr>
                <w:rFonts w:hint="eastAsia" w:ascii="仿宋" w:hAnsi="仿宋" w:eastAsia="仿宋"/>
                <w:bCs/>
                <w:szCs w:val="21"/>
              </w:rPr>
              <w:t>成长</w:t>
            </w:r>
            <w:r>
              <w:rPr>
                <w:rFonts w:ascii="仿宋" w:hAnsi="仿宋" w:eastAsia="仿宋"/>
                <w:bCs/>
                <w:szCs w:val="21"/>
              </w:rPr>
              <w:t>型</w:t>
            </w:r>
          </w:p>
        </w:tc>
        <w:tc>
          <w:tcPr>
            <w:tcW w:w="3387" w:type="dxa"/>
          </w:tcPr>
          <w:p>
            <w:pPr>
              <w:spacing w:line="340" w:lineRule="exact"/>
              <w:rPr>
                <w:rFonts w:ascii="仿宋" w:hAnsi="仿宋" w:eastAsia="仿宋"/>
                <w:szCs w:val="21"/>
              </w:rPr>
            </w:pPr>
            <w:r>
              <w:rPr>
                <w:rFonts w:hint="eastAsia" w:ascii="仿宋" w:hAnsi="仿宋" w:eastAsia="仿宋"/>
                <w:szCs w:val="21"/>
              </w:rPr>
              <w:t>不提供本金保障，且本金亏损的概率较高，预期收益实现的不确定性较大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vAlign w:val="center"/>
          </w:tcPr>
          <w:p>
            <w:pPr>
              <w:spacing w:line="340" w:lineRule="exact"/>
              <w:ind w:firstLine="422" w:firstLineChars="200"/>
              <w:rPr>
                <w:rFonts w:ascii="仿宋" w:hAnsi="仿宋" w:eastAsia="仿宋"/>
                <w:szCs w:val="21"/>
              </w:rPr>
            </w:pPr>
            <w:r>
              <w:rPr>
                <w:rFonts w:ascii="仿宋" w:hAnsi="仿宋" w:eastAsia="仿宋"/>
                <w:b/>
                <w:bCs/>
                <w:szCs w:val="21"/>
              </w:rPr>
              <w:t>★★★★★</w:t>
            </w:r>
          </w:p>
        </w:tc>
        <w:tc>
          <w:tcPr>
            <w:tcW w:w="1661" w:type="dxa"/>
            <w:vAlign w:val="center"/>
          </w:tcPr>
          <w:p>
            <w:pPr>
              <w:spacing w:line="340" w:lineRule="exact"/>
              <w:ind w:firstLine="420" w:firstLineChars="200"/>
              <w:rPr>
                <w:rFonts w:ascii="仿宋" w:hAnsi="仿宋" w:eastAsia="仿宋"/>
                <w:szCs w:val="21"/>
              </w:rPr>
            </w:pPr>
            <w:r>
              <w:rPr>
                <w:rFonts w:ascii="仿宋" w:hAnsi="仿宋" w:eastAsia="仿宋"/>
                <w:bCs/>
                <w:szCs w:val="21"/>
              </w:rPr>
              <w:t>高</w:t>
            </w:r>
          </w:p>
        </w:tc>
        <w:tc>
          <w:tcPr>
            <w:tcW w:w="1661" w:type="dxa"/>
            <w:vAlign w:val="center"/>
          </w:tcPr>
          <w:p>
            <w:pPr>
              <w:spacing w:line="340" w:lineRule="exact"/>
              <w:ind w:firstLine="420" w:firstLineChars="200"/>
              <w:rPr>
                <w:rFonts w:ascii="仿宋" w:hAnsi="仿宋" w:eastAsia="仿宋"/>
                <w:szCs w:val="21"/>
              </w:rPr>
            </w:pPr>
            <w:r>
              <w:rPr>
                <w:rFonts w:hint="eastAsia" w:ascii="仿宋" w:hAnsi="仿宋" w:eastAsia="仿宋"/>
                <w:bCs/>
                <w:szCs w:val="21"/>
              </w:rPr>
              <w:t>进取</w:t>
            </w:r>
            <w:r>
              <w:rPr>
                <w:rFonts w:ascii="仿宋" w:hAnsi="仿宋" w:eastAsia="仿宋"/>
                <w:bCs/>
                <w:szCs w:val="21"/>
              </w:rPr>
              <w:t>型</w:t>
            </w:r>
          </w:p>
        </w:tc>
        <w:tc>
          <w:tcPr>
            <w:tcW w:w="3387" w:type="dxa"/>
          </w:tcPr>
          <w:p>
            <w:pPr>
              <w:spacing w:line="340" w:lineRule="exact"/>
              <w:rPr>
                <w:rFonts w:ascii="仿宋" w:hAnsi="仿宋" w:eastAsia="仿宋"/>
                <w:szCs w:val="21"/>
              </w:rPr>
            </w:pPr>
            <w:r>
              <w:rPr>
                <w:rFonts w:hint="eastAsia" w:ascii="仿宋" w:hAnsi="仿宋" w:eastAsia="仿宋"/>
                <w:szCs w:val="21"/>
              </w:rPr>
              <w:t>不提供本金保障，且本金亏损的概率很高，预期收益实现的不确定性很大</w:t>
            </w:r>
          </w:p>
        </w:tc>
      </w:tr>
    </w:tbl>
    <w:p>
      <w:pPr>
        <w:rPr>
          <w:rFonts w:ascii="仿宋" w:hAnsi="仿宋" w:eastAsia="仿宋"/>
          <w:bCs/>
          <w:szCs w:val="21"/>
        </w:rPr>
      </w:pPr>
    </w:p>
    <w:p>
      <w:pPr>
        <w:rPr>
          <w:rFonts w:ascii="仿宋" w:hAnsi="仿宋" w:eastAsia="仿宋"/>
          <w:b/>
          <w:bCs/>
          <w:szCs w:val="21"/>
        </w:rPr>
      </w:pPr>
      <w:r>
        <w:rPr>
          <w:rFonts w:hint="eastAsia" w:ascii="仿宋" w:hAnsi="仿宋" w:eastAsia="仿宋"/>
          <w:b/>
          <w:bCs/>
          <w:szCs w:val="21"/>
        </w:rPr>
        <w:t>（本风险评级为我行内部评级结果，仅供参考，我行不对该风险评级结果的准确性做出任何形式的保证，也不承担任何法律责任）</w:t>
      </w:r>
    </w:p>
    <w:p>
      <w:pPr>
        <w:rPr>
          <w:rFonts w:ascii="仿宋" w:hAnsi="仿宋" w:eastAsia="仿宋"/>
          <w:b/>
          <w:bCs/>
          <w:szCs w:val="21"/>
        </w:rPr>
      </w:pPr>
    </w:p>
    <w:p>
      <w:pPr>
        <w:rPr>
          <w:rFonts w:ascii="仿宋" w:hAnsi="仿宋" w:eastAsia="仿宋"/>
          <w:b/>
          <w:szCs w:val="21"/>
        </w:rPr>
      </w:pPr>
      <w:r>
        <w:rPr>
          <w:rFonts w:hint="eastAsia" w:ascii="仿宋" w:hAnsi="仿宋" w:eastAsia="仿宋"/>
          <w:b/>
          <w:szCs w:val="21"/>
        </w:rPr>
        <w:t>四、投资方向和范围</w:t>
      </w:r>
    </w:p>
    <w:p>
      <w:pPr>
        <w:ind w:firstLine="420" w:firstLineChars="200"/>
        <w:rPr>
          <w:rFonts w:ascii="仿宋" w:hAnsi="仿宋" w:eastAsia="仿宋"/>
          <w:bCs/>
          <w:kern w:val="0"/>
        </w:rPr>
      </w:pPr>
      <w:r>
        <w:rPr>
          <w:rFonts w:hint="eastAsia" w:ascii="仿宋" w:hAnsi="仿宋" w:eastAsia="仿宋"/>
          <w:kern w:val="0"/>
          <w:szCs w:val="21"/>
        </w:rPr>
        <w:t>本产品募集资金由江南农村商业银行投资于现金，银行存款，债券回购等高流动性货币工具0%-80%；国债、央行票据、政策性金融债、短期融资券、中期票据、企业债、资产支持证券等银行间市场各类债券，债券基金、货币市场基金、货币型信托产品；分级基金优先级份额；券商、信托、保险、资产管理公司等发起的资产管理计划和信托计划及其他法律法规允许的具有固定收益性质的投资品种20%-100%。在不影响客户预期收益的前提下，以上投资比例随市场变化及时调整。投资比例可在[-20%，+20%]的区间内浮动，本行将不作另行通知。</w:t>
      </w:r>
      <w:r>
        <w:rPr>
          <w:rFonts w:hint="eastAsia" w:ascii="仿宋" w:hAnsi="仿宋" w:eastAsia="仿宋"/>
          <w:bCs/>
          <w:kern w:val="0"/>
          <w:szCs w:val="21"/>
        </w:rPr>
        <w:t>江南农村商业银行有权根据市场情况，在不损害投资者利益的前提下且根据约定提</w:t>
      </w:r>
      <w:r>
        <w:rPr>
          <w:rFonts w:hint="eastAsia" w:ascii="仿宋" w:hAnsi="仿宋" w:eastAsia="仿宋"/>
          <w:bCs/>
          <w:kern w:val="0"/>
        </w:rPr>
        <w:t>前公告的情况下，对本产品的投资范围、投资品种和投资比例进行调整。投资者对此无异议且同意在上述情况下继续持有本产品。</w:t>
      </w:r>
    </w:p>
    <w:p>
      <w:pPr>
        <w:tabs>
          <w:tab w:val="left" w:pos="1035"/>
        </w:tabs>
        <w:rPr>
          <w:rFonts w:ascii="仿宋" w:hAnsi="仿宋" w:eastAsia="仿宋"/>
          <w:b/>
          <w:szCs w:val="21"/>
        </w:rPr>
      </w:pPr>
    </w:p>
    <w:p>
      <w:pPr>
        <w:rPr>
          <w:rFonts w:ascii="仿宋" w:hAnsi="仿宋" w:eastAsia="仿宋"/>
          <w:b/>
          <w:szCs w:val="21"/>
        </w:rPr>
      </w:pPr>
      <w:r>
        <w:rPr>
          <w:rFonts w:hint="eastAsia" w:ascii="仿宋" w:hAnsi="仿宋" w:eastAsia="仿宋"/>
          <w:b/>
          <w:szCs w:val="21"/>
        </w:rPr>
        <w:t>五、产品概述</w:t>
      </w:r>
    </w:p>
    <w:tbl>
      <w:tblPr>
        <w:tblStyle w:val="18"/>
        <w:tblW w:w="10915" w:type="dxa"/>
        <w:tblInd w:w="-11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86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产品名称：</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富江南之锦富添盈A计划D1680期02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产品代码：</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D168002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产品登记编码：</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highlight w:val="yellow"/>
              </w:rPr>
            </w:pPr>
            <w:r>
              <w:rPr>
                <w:rFonts w:ascii="仿宋_GB2312" w:hAnsi="仿宋" w:eastAsia="仿宋_GB2312"/>
                <w:sz w:val="24"/>
              </w:rPr>
              <w:t>C1128716000933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产品风险等级：</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二级（中低）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销售对象：</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个人客户、机构客户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理财期限：</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开放式无固定期限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产品类型：</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本金及收益币种：</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投资范围：</w:t>
            </w:r>
          </w:p>
        </w:tc>
        <w:tc>
          <w:tcPr>
            <w:tcW w:w="864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仿宋" w:hAnsi="仿宋" w:eastAsia="仿宋"/>
                <w:bCs/>
                <w:kern w:val="0"/>
              </w:rPr>
            </w:pPr>
            <w:r>
              <w:rPr>
                <w:rFonts w:hint="eastAsia" w:ascii="仿宋" w:hAnsi="仿宋" w:eastAsia="仿宋"/>
                <w:kern w:val="0"/>
                <w:szCs w:val="21"/>
              </w:rPr>
              <w:t>本产品募集资金由江南农村商业银行投资于现金，银行存款，债券回购等高流动性货币工具0%-80%；国债、央行票据、政策性金融债、短期融资券、中期票据、企业债、资产支持证券等银行间市场各类债券，债券基金、货币市场基金、货币型信托产品；分级基金优先级份额；券商、信托、保险、资产管理公司等发起的资产管理计划和信托计划及其他法律法规允许的具有固定收益性质的投资品种20%-100%。在不影响客户预期收益的前提下，以上投资比例随市场变化及时调整。投资比例可在[-20%，+20%]的区间内浮动，本行将不作另行通知。</w:t>
            </w:r>
            <w:r>
              <w:rPr>
                <w:rFonts w:hint="eastAsia" w:ascii="仿宋" w:hAnsi="仿宋" w:eastAsia="仿宋"/>
                <w:bCs/>
                <w:kern w:val="0"/>
                <w:szCs w:val="21"/>
              </w:rPr>
              <w:t>江南农村商业银行有权根据市场情况，在不损害投资者利益的前提下且根据约定提</w:t>
            </w:r>
            <w:r>
              <w:rPr>
                <w:rFonts w:hint="eastAsia" w:ascii="仿宋" w:hAnsi="仿宋" w:eastAsia="仿宋"/>
                <w:bCs/>
                <w:kern w:val="0"/>
              </w:rPr>
              <w:t>前公告的情况下，对本产品的投资范围、投资品种和投资比例进行调整。投资者对此无异议且同意在上述情况下继续持有本产品。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理财产品规模上限：</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200亿元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开放日：</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highlight w:val="yellow"/>
              </w:rPr>
            </w:pPr>
            <w:r>
              <w:rPr>
                <w:rFonts w:hint="eastAsia" w:ascii="仿宋_GB2312" w:hAnsi="宋体" w:eastAsia="仿宋_GB2312" w:cs="宋体"/>
                <w:b w:val="0"/>
                <w:bCs/>
                <w:kern w:val="0"/>
                <w:sz w:val="24"/>
                <w:szCs w:val="22"/>
              </w:rPr>
              <w:t>2020年</w:t>
            </w:r>
            <w:r>
              <w:rPr>
                <w:rFonts w:hint="eastAsia" w:ascii="仿宋_GB2312" w:hAnsi="宋体" w:eastAsia="仿宋_GB2312" w:cs="宋体"/>
                <w:b w:val="0"/>
                <w:bCs/>
                <w:kern w:val="0"/>
                <w:sz w:val="24"/>
                <w:szCs w:val="22"/>
                <w:lang w:val="en-US" w:eastAsia="zh-CN"/>
              </w:rPr>
              <w:t>09</w:t>
            </w:r>
            <w:r>
              <w:rPr>
                <w:rFonts w:hint="eastAsia" w:ascii="仿宋_GB2312" w:hAnsi="宋体" w:eastAsia="仿宋_GB2312" w:cs="宋体"/>
                <w:b w:val="0"/>
                <w:bCs/>
                <w:kern w:val="0"/>
                <w:sz w:val="24"/>
                <w:szCs w:val="22"/>
              </w:rPr>
              <w:t>月</w:t>
            </w:r>
            <w:r>
              <w:rPr>
                <w:rFonts w:hint="eastAsia" w:ascii="仿宋_GB2312" w:hAnsi="宋体" w:eastAsia="仿宋_GB2312" w:cs="宋体"/>
                <w:b w:val="0"/>
                <w:bCs/>
                <w:kern w:val="0"/>
                <w:sz w:val="24"/>
                <w:szCs w:val="22"/>
                <w:lang w:val="en-US" w:eastAsia="zh-CN"/>
              </w:rPr>
              <w:t>10</w:t>
            </w:r>
            <w:r>
              <w:rPr>
                <w:rFonts w:hint="eastAsia" w:ascii="仿宋_GB2312" w:hAnsi="宋体" w:eastAsia="仿宋_GB2312" w:cs="宋体"/>
                <w:b w:val="0"/>
                <w:bCs/>
                <w:kern w:val="0"/>
                <w:sz w:val="24"/>
                <w:szCs w:val="22"/>
              </w:rPr>
              <w:t>日—2020年0</w:t>
            </w:r>
            <w:r>
              <w:rPr>
                <w:rFonts w:hint="eastAsia" w:ascii="仿宋_GB2312" w:hAnsi="宋体" w:eastAsia="仿宋_GB2312" w:cs="宋体"/>
                <w:b w:val="0"/>
                <w:bCs/>
                <w:kern w:val="0"/>
                <w:sz w:val="24"/>
                <w:szCs w:val="22"/>
                <w:lang w:val="en-US" w:eastAsia="zh-CN"/>
              </w:rPr>
              <w:t>9</w:t>
            </w:r>
            <w:r>
              <w:rPr>
                <w:rFonts w:hint="eastAsia" w:ascii="仿宋_GB2312" w:hAnsi="宋体" w:eastAsia="仿宋_GB2312" w:cs="宋体"/>
                <w:b w:val="0"/>
                <w:bCs/>
                <w:kern w:val="0"/>
                <w:sz w:val="24"/>
                <w:szCs w:val="22"/>
              </w:rPr>
              <w:t>月</w:t>
            </w:r>
            <w:r>
              <w:rPr>
                <w:rFonts w:hint="eastAsia" w:ascii="仿宋_GB2312" w:hAnsi="宋体" w:eastAsia="仿宋_GB2312" w:cs="宋体"/>
                <w:b w:val="0"/>
                <w:bCs/>
                <w:kern w:val="0"/>
                <w:sz w:val="24"/>
                <w:szCs w:val="22"/>
                <w:lang w:val="en-US" w:eastAsia="zh-CN"/>
              </w:rPr>
              <w:t>16</w:t>
            </w:r>
            <w:r>
              <w:rPr>
                <w:rFonts w:hint="eastAsia" w:ascii="仿宋_GB2312" w:hAnsi="宋体" w:eastAsia="仿宋_GB2312" w:cs="宋体"/>
                <w:b w:val="0"/>
                <w:bCs/>
                <w:kern w:val="0"/>
                <w:sz w:val="24"/>
                <w:szCs w:val="2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预约日：</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除工作日外的，投资人可预约申购申请；所提预约将提交下一开放日申请处理。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确认日（T日）:</w:t>
            </w:r>
          </w:p>
        </w:tc>
        <w:tc>
          <w:tcPr>
            <w:tcW w:w="8646" w:type="dxa"/>
            <w:tcBorders>
              <w:top w:val="single" w:color="auto" w:sz="4" w:space="0"/>
              <w:left w:val="single" w:color="auto" w:sz="4" w:space="0"/>
              <w:bottom w:val="single" w:color="auto" w:sz="4" w:space="0"/>
              <w:right w:val="single" w:color="auto" w:sz="4" w:space="0"/>
            </w:tcBorders>
            <w:vAlign w:val="top"/>
          </w:tcPr>
          <w:p>
            <w:r>
              <w:rPr>
                <w:rFonts w:hint="eastAsia" w:ascii="仿宋_GB2312" w:hAnsi="宋体" w:eastAsia="仿宋_GB2312" w:cs="宋体"/>
                <w:b w:val="0"/>
                <w:bCs/>
                <w:kern w:val="0"/>
                <w:sz w:val="24"/>
              </w:rPr>
              <w:t>2020年</w:t>
            </w:r>
            <w:r>
              <w:rPr>
                <w:rFonts w:hint="eastAsia" w:ascii="仿宋_GB2312" w:hAnsi="宋体" w:eastAsia="仿宋_GB2312" w:cs="宋体"/>
                <w:b w:val="0"/>
                <w:bCs/>
                <w:kern w:val="0"/>
                <w:sz w:val="24"/>
                <w:lang w:val="en-US" w:eastAsia="zh-CN"/>
              </w:rPr>
              <w:t>9</w:t>
            </w:r>
            <w:r>
              <w:rPr>
                <w:rFonts w:hint="eastAsia" w:ascii="仿宋_GB2312" w:hAnsi="宋体" w:eastAsia="仿宋_GB2312" w:cs="宋体"/>
                <w:b w:val="0"/>
                <w:bCs/>
                <w:kern w:val="0"/>
                <w:sz w:val="24"/>
              </w:rPr>
              <w:t>月</w:t>
            </w:r>
            <w:r>
              <w:rPr>
                <w:rFonts w:hint="eastAsia" w:ascii="仿宋_GB2312" w:hAnsi="宋体" w:eastAsia="仿宋_GB2312" w:cs="宋体"/>
                <w:b w:val="0"/>
                <w:bCs/>
                <w:kern w:val="0"/>
                <w:sz w:val="24"/>
                <w:lang w:val="en-US" w:eastAsia="zh-CN"/>
              </w:rPr>
              <w:t>17</w:t>
            </w:r>
            <w:r>
              <w:rPr>
                <w:rFonts w:hint="eastAsia" w:ascii="仿宋_GB2312" w:hAnsi="宋体" w:eastAsia="仿宋_GB2312" w:cs="宋体"/>
                <w:b w:val="0"/>
                <w:bCs/>
                <w:kern w:val="0"/>
                <w:sz w:val="24"/>
              </w:rPr>
              <w:t>日</w:t>
            </w:r>
            <w:bookmarkStart w:id="0" w:name="_GoBack"/>
            <w:bookmarkEnd w:id="0"/>
            <w:r>
              <w:rPr>
                <w:rFonts w:hint="eastAsia" w:ascii="仿宋_GB2312" w:hAnsi="宋体" w:eastAsia="仿宋_GB2312" w:cs="宋体"/>
                <w:b/>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投资起始日：</w:t>
            </w:r>
          </w:p>
        </w:tc>
        <w:tc>
          <w:tcPr>
            <w:tcW w:w="8646" w:type="dxa"/>
            <w:tcBorders>
              <w:top w:val="single" w:color="auto" w:sz="4" w:space="0"/>
              <w:left w:val="single" w:color="auto" w:sz="4" w:space="0"/>
              <w:bottom w:val="single" w:color="auto" w:sz="4" w:space="0"/>
              <w:right w:val="single" w:color="auto" w:sz="4" w:space="0"/>
            </w:tcBorders>
            <w:vAlign w:val="top"/>
          </w:tcPr>
          <w:p>
            <w:pPr>
              <w:rPr>
                <w:rFonts w:ascii="仿宋_GB2312" w:hAnsi="宋体" w:eastAsia="仿宋_GB2312" w:cs="宋体"/>
                <w:kern w:val="0"/>
                <w:sz w:val="24"/>
              </w:rPr>
            </w:pPr>
            <w:r>
              <w:rPr>
                <w:rFonts w:hint="eastAsia" w:ascii="仿宋_GB2312" w:hAnsi="宋体" w:eastAsia="仿宋_GB2312" w:cs="宋体"/>
                <w:b w:val="0"/>
                <w:bCs/>
                <w:kern w:val="0"/>
                <w:sz w:val="24"/>
              </w:rPr>
              <w:t>2020年</w:t>
            </w:r>
            <w:r>
              <w:rPr>
                <w:rFonts w:hint="eastAsia" w:ascii="仿宋_GB2312" w:hAnsi="宋体" w:eastAsia="仿宋_GB2312" w:cs="宋体"/>
                <w:b w:val="0"/>
                <w:bCs/>
                <w:kern w:val="0"/>
                <w:sz w:val="24"/>
                <w:lang w:val="en-US" w:eastAsia="zh-CN"/>
              </w:rPr>
              <w:t>9</w:t>
            </w:r>
            <w:r>
              <w:rPr>
                <w:rFonts w:hint="eastAsia" w:ascii="仿宋_GB2312" w:hAnsi="宋体" w:eastAsia="仿宋_GB2312" w:cs="宋体"/>
                <w:b w:val="0"/>
                <w:bCs/>
                <w:kern w:val="0"/>
                <w:sz w:val="24"/>
              </w:rPr>
              <w:t>月</w:t>
            </w:r>
            <w:r>
              <w:rPr>
                <w:rFonts w:hint="eastAsia" w:ascii="仿宋_GB2312" w:hAnsi="宋体" w:eastAsia="仿宋_GB2312" w:cs="宋体"/>
                <w:b w:val="0"/>
                <w:bCs/>
                <w:kern w:val="0"/>
                <w:sz w:val="24"/>
                <w:lang w:val="en-US" w:eastAsia="zh-CN"/>
              </w:rPr>
              <w:t>17</w:t>
            </w:r>
            <w:r>
              <w:rPr>
                <w:rFonts w:hint="eastAsia" w:ascii="仿宋_GB2312" w:hAnsi="宋体" w:eastAsia="仿宋_GB2312" w:cs="宋体"/>
                <w:b w:val="0"/>
                <w:bCs/>
                <w:kern w:val="0"/>
                <w:sz w:val="24"/>
              </w:rPr>
              <w:t>日</w:t>
            </w:r>
            <w:r>
              <w:rPr>
                <w:rFonts w:hint="eastAsia" w:ascii="仿宋_GB2312" w:hAnsi="宋体" w:eastAsia="仿宋_GB2312" w:cs="宋体"/>
                <w:b/>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投资结束日：</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产品赎回日，由客户根据本行提供日期，自行选择。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投资期限:</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从投资起始日至投资结束日为客户的投资期限。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投资管理人：</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本产品的投资管理人为江苏江南农村商业银行股份有限公司。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理财产品托管人:</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工商银行常州分行。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认购、申购起点/追加金额:</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单笔购买起点金额20万元，以1万元整数倍增加。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认/申购费率:</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销售服务费率:</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托管费率（年化）:</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管理费:</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固定管理费：0.2%，按募集本金余额按月计提；实际年化收益率等于或少于经测算可达的年化收益率，则不收取管理费；浮动管理费：实际运作收益扣除托管费、固定管理费等固定费用后，超额部分将作为超额管理费由投资管理人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5" w:hRule="atLeast"/>
        </w:trPr>
        <w:tc>
          <w:tcPr>
            <w:tcW w:w="2269" w:type="dxa"/>
            <w:tcBorders>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预期收益率：</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420"/>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1420" w:type="dxa"/>
                  <w:tcBorders>
                    <w:tl2br w:val="single" w:color="auto" w:sz="4" w:space="0"/>
                  </w:tcBorders>
                </w:tcPr>
                <w:p>
                  <w:pPr>
                    <w:ind w:firstLine="540" w:firstLineChars="300"/>
                    <w:rPr>
                      <w:rFonts w:ascii="仿宋" w:hAnsi="仿宋" w:eastAsia="仿宋" w:cstheme="minorBidi"/>
                      <w:sz w:val="18"/>
                      <w:szCs w:val="18"/>
                    </w:rPr>
                  </w:pPr>
                  <w:r>
                    <w:rPr>
                      <w:rFonts w:hint="eastAsia" w:ascii="仿宋" w:hAnsi="仿宋" w:eastAsia="仿宋" w:cstheme="minorBidi"/>
                      <w:sz w:val="18"/>
                      <w:szCs w:val="18"/>
                    </w:rPr>
                    <w:t>投资</w:t>
                  </w:r>
                </w:p>
                <w:p>
                  <w:pPr>
                    <w:rPr>
                      <w:rFonts w:ascii="仿宋" w:hAnsi="仿宋" w:eastAsia="仿宋" w:cstheme="minorBidi"/>
                      <w:sz w:val="18"/>
                      <w:szCs w:val="18"/>
                    </w:rPr>
                  </w:pPr>
                  <w:r>
                    <w:rPr>
                      <w:rFonts w:hint="eastAsia" w:ascii="仿宋" w:hAnsi="仿宋" w:eastAsia="仿宋" w:cstheme="minorBidi"/>
                      <w:sz w:val="18"/>
                      <w:szCs w:val="18"/>
                    </w:rPr>
                    <w:t>购买     期限</w:t>
                  </w:r>
                </w:p>
                <w:p>
                  <w:pPr>
                    <w:rPr>
                      <w:rFonts w:asciiTheme="minorHAnsi" w:hAnsiTheme="minorHAnsi" w:eastAsiaTheme="minorEastAsia" w:cstheme="minorBidi"/>
                      <w:szCs w:val="22"/>
                    </w:rPr>
                  </w:pPr>
                  <w:r>
                    <w:rPr>
                      <w:rFonts w:hint="eastAsia" w:ascii="仿宋" w:hAnsi="仿宋" w:eastAsia="仿宋" w:cstheme="minorBidi"/>
                      <w:sz w:val="18"/>
                      <w:szCs w:val="18"/>
                    </w:rPr>
                    <w:t xml:space="preserve">起点金额 </w:t>
                  </w:r>
                </w:p>
              </w:tc>
              <w:tc>
                <w:tcPr>
                  <w:tcW w:w="1420" w:type="dxa"/>
                  <w:vAlign w:val="center"/>
                </w:tcPr>
                <w:p>
                  <w:pPr>
                    <w:jc w:val="center"/>
                    <w:rPr>
                      <w:rFonts w:ascii="仿宋" w:hAnsi="仿宋" w:eastAsia="仿宋" w:cstheme="minorBidi"/>
                      <w:szCs w:val="21"/>
                    </w:rPr>
                  </w:pPr>
                  <w:r>
                    <w:rPr>
                      <w:rFonts w:hint="eastAsia" w:ascii="仿宋" w:hAnsi="仿宋" w:eastAsia="仿宋" w:cstheme="minorBidi"/>
                      <w:szCs w:val="21"/>
                    </w:rPr>
                    <w:t>30天（含）-55天（含）</w:t>
                  </w:r>
                </w:p>
              </w:tc>
              <w:tc>
                <w:tcPr>
                  <w:tcW w:w="1420" w:type="dxa"/>
                  <w:vAlign w:val="center"/>
                </w:tcPr>
                <w:p>
                  <w:pPr>
                    <w:jc w:val="center"/>
                    <w:rPr>
                      <w:rFonts w:ascii="仿宋" w:hAnsi="仿宋" w:eastAsia="仿宋" w:cstheme="minorBidi"/>
                      <w:szCs w:val="21"/>
                    </w:rPr>
                  </w:pPr>
                  <w:r>
                    <w:rPr>
                      <w:rFonts w:hint="eastAsia" w:ascii="仿宋" w:hAnsi="仿宋" w:eastAsia="仿宋" w:cstheme="minorBidi"/>
                      <w:szCs w:val="21"/>
                    </w:rPr>
                    <w:t>55天（不含）-80天（含）</w:t>
                  </w:r>
                </w:p>
              </w:tc>
              <w:tc>
                <w:tcPr>
                  <w:tcW w:w="1420" w:type="dxa"/>
                  <w:vAlign w:val="center"/>
                </w:tcPr>
                <w:p>
                  <w:pPr>
                    <w:jc w:val="center"/>
                    <w:rPr>
                      <w:rFonts w:ascii="仿宋" w:hAnsi="仿宋" w:eastAsia="仿宋" w:cstheme="minorBidi"/>
                      <w:szCs w:val="21"/>
                    </w:rPr>
                  </w:pPr>
                  <w:r>
                    <w:rPr>
                      <w:rFonts w:hint="eastAsia" w:ascii="仿宋" w:hAnsi="仿宋" w:eastAsia="仿宋" w:cstheme="minorBidi"/>
                      <w:szCs w:val="21"/>
                    </w:rPr>
                    <w:t>80天（不含）-1</w:t>
                  </w:r>
                  <w:r>
                    <w:rPr>
                      <w:rFonts w:hint="eastAsia" w:ascii="仿宋" w:hAnsi="仿宋" w:eastAsia="仿宋" w:cstheme="minorBidi"/>
                      <w:szCs w:val="21"/>
                      <w:lang w:val="en-US" w:eastAsia="zh-CN"/>
                    </w:rPr>
                    <w:t>5</w:t>
                  </w:r>
                  <w:r>
                    <w:rPr>
                      <w:rFonts w:hint="eastAsia" w:ascii="仿宋" w:hAnsi="仿宋" w:eastAsia="仿宋" w:cstheme="minorBidi"/>
                      <w:szCs w:val="21"/>
                    </w:rPr>
                    <w:t>0天（含）</w:t>
                  </w:r>
                </w:p>
              </w:tc>
              <w:tc>
                <w:tcPr>
                  <w:tcW w:w="1421" w:type="dxa"/>
                  <w:vAlign w:val="center"/>
                </w:tcPr>
                <w:p>
                  <w:pPr>
                    <w:jc w:val="center"/>
                    <w:rPr>
                      <w:rFonts w:ascii="仿宋" w:hAnsi="仿宋" w:eastAsia="仿宋" w:cstheme="minorBidi"/>
                      <w:szCs w:val="21"/>
                    </w:rPr>
                  </w:pPr>
                  <w:r>
                    <w:rPr>
                      <w:rFonts w:hint="eastAsia" w:ascii="仿宋" w:hAnsi="仿宋" w:eastAsia="仿宋" w:cstheme="minorBidi"/>
                      <w:szCs w:val="21"/>
                    </w:rPr>
                    <w:t>1</w:t>
                  </w:r>
                  <w:r>
                    <w:rPr>
                      <w:rFonts w:hint="eastAsia" w:ascii="仿宋" w:hAnsi="仿宋" w:eastAsia="仿宋" w:cstheme="minorBidi"/>
                      <w:szCs w:val="21"/>
                      <w:lang w:val="en-US" w:eastAsia="zh-CN"/>
                    </w:rPr>
                    <w:t>5</w:t>
                  </w:r>
                  <w:r>
                    <w:rPr>
                      <w:rFonts w:hint="eastAsia" w:ascii="仿宋" w:hAnsi="仿宋" w:eastAsia="仿宋" w:cstheme="minorBidi"/>
                      <w:szCs w:val="21"/>
                    </w:rPr>
                    <w:t>0天（不含）-200天（含）</w:t>
                  </w:r>
                </w:p>
              </w:tc>
              <w:tc>
                <w:tcPr>
                  <w:tcW w:w="1421" w:type="dxa"/>
                  <w:vAlign w:val="center"/>
                </w:tcPr>
                <w:p>
                  <w:pPr>
                    <w:jc w:val="center"/>
                    <w:rPr>
                      <w:rFonts w:ascii="仿宋" w:hAnsi="仿宋" w:eastAsia="仿宋" w:cstheme="minorBidi"/>
                      <w:szCs w:val="21"/>
                    </w:rPr>
                  </w:pPr>
                  <w:r>
                    <w:rPr>
                      <w:rFonts w:hint="eastAsia" w:ascii="仿宋" w:hAnsi="仿宋" w:eastAsia="仿宋" w:cstheme="minorBidi"/>
                      <w:szCs w:val="21"/>
                    </w:rPr>
                    <w:t>200天（不含）以上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rPr>
                      <w:rFonts w:ascii="仿宋" w:hAnsi="仿宋" w:eastAsia="仿宋" w:cstheme="minorBidi"/>
                      <w:szCs w:val="22"/>
                    </w:rPr>
                  </w:pPr>
                  <w:r>
                    <w:rPr>
                      <w:rFonts w:hint="eastAsia" w:ascii="仿宋" w:hAnsi="仿宋" w:eastAsia="仿宋" w:cstheme="minorBidi"/>
                      <w:szCs w:val="22"/>
                    </w:rPr>
                    <w:t>20万元</w:t>
                  </w:r>
                </w:p>
              </w:tc>
              <w:tc>
                <w:tcPr>
                  <w:tcW w:w="1420" w:type="dxa"/>
                  <w:vAlign w:val="top"/>
                </w:tcPr>
                <w:p>
                  <w:pPr>
                    <w:jc w:val="center"/>
                    <w:rPr>
                      <w:rFonts w:ascii="仿宋" w:hAnsi="仿宋" w:eastAsia="仿宋" w:cstheme="minorBidi"/>
                      <w:szCs w:val="22"/>
                    </w:rPr>
                  </w:pPr>
                  <w:r>
                    <w:rPr>
                      <w:rFonts w:hint="eastAsia" w:ascii="仿宋" w:hAnsi="仿宋" w:eastAsia="仿宋" w:cstheme="minorBidi"/>
                      <w:szCs w:val="22"/>
                      <w:lang w:val="en-US" w:eastAsia="zh-CN"/>
                    </w:rPr>
                    <w:t>-</w:t>
                  </w:r>
                </w:p>
              </w:tc>
              <w:tc>
                <w:tcPr>
                  <w:tcW w:w="1420" w:type="dxa"/>
                  <w:vAlign w:val="top"/>
                </w:tcPr>
                <w:p>
                  <w:pPr>
                    <w:jc w:val="center"/>
                    <w:rPr>
                      <w:rFonts w:asciiTheme="minorHAnsi" w:hAnsiTheme="minorHAnsi" w:eastAsiaTheme="minorEastAsia" w:cstheme="minorBidi"/>
                      <w:szCs w:val="22"/>
                    </w:rPr>
                  </w:pPr>
                  <w:r>
                    <w:rPr>
                      <w:rFonts w:hint="eastAsia" w:ascii="仿宋" w:hAnsi="仿宋" w:eastAsia="仿宋" w:cstheme="minorBidi"/>
                      <w:szCs w:val="22"/>
                      <w:lang w:val="en-US" w:eastAsia="zh-CN"/>
                    </w:rPr>
                    <w:t>-</w:t>
                  </w:r>
                </w:p>
              </w:tc>
              <w:tc>
                <w:tcPr>
                  <w:tcW w:w="1420" w:type="dxa"/>
                  <w:vAlign w:val="top"/>
                </w:tcPr>
                <w:p>
                  <w:pPr>
                    <w:jc w:val="center"/>
                    <w:rPr>
                      <w:rFonts w:hint="eastAsia" w:asciiTheme="minorHAnsi" w:hAnsiTheme="minorHAnsi" w:eastAsiaTheme="minorEastAsia" w:cstheme="minorBidi"/>
                      <w:szCs w:val="22"/>
                      <w:lang w:eastAsia="zh-CN"/>
                    </w:rPr>
                  </w:pPr>
                  <w:r>
                    <w:rPr>
                      <w:rFonts w:hint="eastAsia" w:ascii="仿宋" w:hAnsi="仿宋" w:eastAsia="仿宋" w:cstheme="minorBidi"/>
                      <w:szCs w:val="22"/>
                      <w:lang w:val="en-US" w:eastAsia="zh-CN"/>
                    </w:rPr>
                    <w:t>3.70%</w:t>
                  </w:r>
                </w:p>
              </w:tc>
              <w:tc>
                <w:tcPr>
                  <w:tcW w:w="1421" w:type="dxa"/>
                  <w:vAlign w:val="top"/>
                </w:tcPr>
                <w:p>
                  <w:pPr>
                    <w:ind w:firstLine="315" w:firstLineChars="150"/>
                    <w:rPr>
                      <w:rFonts w:asciiTheme="minorHAnsi" w:hAnsiTheme="minorHAnsi" w:eastAsiaTheme="minorEastAsia" w:cstheme="minorBidi"/>
                      <w:szCs w:val="22"/>
                    </w:rPr>
                  </w:pPr>
                  <w:r>
                    <w:rPr>
                      <w:rFonts w:hint="eastAsia" w:ascii="仿宋" w:hAnsi="仿宋" w:eastAsia="仿宋" w:cstheme="minorBidi"/>
                      <w:szCs w:val="22"/>
                      <w:lang w:val="en-US" w:eastAsia="zh-CN"/>
                    </w:rPr>
                    <w:t>3.75%</w:t>
                  </w:r>
                </w:p>
              </w:tc>
              <w:tc>
                <w:tcPr>
                  <w:tcW w:w="1421" w:type="dxa"/>
                  <w:vAlign w:val="top"/>
                </w:tcPr>
                <w:p>
                  <w:pPr>
                    <w:jc w:val="center"/>
                    <w:rPr>
                      <w:rFonts w:ascii="仿宋" w:hAnsi="仿宋" w:eastAsia="仿宋" w:cstheme="minorBidi"/>
                      <w:szCs w:val="22"/>
                    </w:rPr>
                  </w:pPr>
                  <w:r>
                    <w:rPr>
                      <w:rFonts w:hint="eastAsia" w:ascii="仿宋" w:hAnsi="仿宋" w:eastAsia="仿宋" w:cstheme="minorBidi"/>
                      <w:szCs w:val="22"/>
                      <w:lang w:val="en-US" w:eastAsia="zh-CN"/>
                    </w:rPr>
                    <w:t>3.75%</w:t>
                  </w:r>
                </w:p>
              </w:tc>
            </w:tr>
          </w:tbl>
          <w:p>
            <w:pPr>
              <w:ind w:firstLine="480" w:firstLineChars="200"/>
              <w:rPr>
                <w:rFonts w:ascii="仿宋_GB2312" w:hAnsi="仿宋" w:eastAsia="仿宋_GB2312"/>
                <w:sz w:val="24"/>
              </w:rPr>
            </w:pPr>
            <w:r>
              <w:rPr>
                <w:rFonts w:hint="eastAsia" w:ascii="仿宋_GB2312" w:hAnsi="仿宋" w:eastAsia="仿宋_GB2312"/>
                <w:sz w:val="24"/>
              </w:rPr>
              <w:t>本行根据理财产品实际投资情况和市场情况对预期收益率进行调整，自调整之日起，申购客户按新的预期收益率计算客户收益，存续客户以申购日确认的预期收益率计算客户收益。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客户赎回权:</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申购成功后，客户可在下一个确认日之前，申请撤销申购。本产品投资期限内，客户不能提前赎回。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提前终止权:</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本产品规模低于100万元时，本行有权提前终止理财产品。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投资期限结束、提前终止资金到账时间:</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投资期限结束日或产品提前终止日后2个工作日内，本行将客户理财资金划转至客户指定账户。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节假日:</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中国法定公众假日。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税款：</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理财收益的应纳税款由客户自行申报及缴纳。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其他规定:</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认购日至认购期结束日期间，申购日至下一确认日期间，资金按人民币活期存款利率计付利息，不计入投资本金。投资结束日或产品提前终止日至资金到账日期间，投资人资金不计利息。</w:t>
            </w:r>
          </w:p>
        </w:tc>
      </w:tr>
    </w:tbl>
    <w:p>
      <w:pPr>
        <w:rPr>
          <w:rFonts w:ascii="仿宋" w:hAnsi="仿宋" w:eastAsia="仿宋"/>
          <w:b/>
          <w:szCs w:val="21"/>
        </w:rPr>
      </w:pPr>
    </w:p>
    <w:p>
      <w:pPr>
        <w:rPr>
          <w:rFonts w:ascii="仿宋" w:hAnsi="仿宋" w:eastAsia="仿宋" w:cs="宋体Y."/>
          <w:b/>
          <w:color w:val="000000"/>
          <w:kern w:val="0"/>
          <w:szCs w:val="21"/>
        </w:rPr>
      </w:pPr>
      <w:r>
        <w:rPr>
          <w:rFonts w:hint="eastAsia" w:ascii="仿宋" w:hAnsi="仿宋" w:eastAsia="仿宋" w:cs="宋体Y."/>
          <w:b/>
          <w:color w:val="000000"/>
          <w:kern w:val="0"/>
          <w:szCs w:val="21"/>
        </w:rPr>
        <w:t>六、投资期限</w:t>
      </w:r>
    </w:p>
    <w:p>
      <w:pPr>
        <w:rPr>
          <w:rFonts w:ascii="仿宋" w:hAnsi="仿宋" w:eastAsia="仿宋" w:cs="宋体Y."/>
          <w:color w:val="000000"/>
          <w:kern w:val="0"/>
          <w:szCs w:val="21"/>
        </w:rPr>
      </w:pPr>
      <w:r>
        <w:rPr>
          <w:rFonts w:hint="eastAsia" w:ascii="仿宋" w:hAnsi="仿宋" w:eastAsia="仿宋" w:cs="宋体Y."/>
          <w:color w:val="000000"/>
          <w:kern w:val="0"/>
          <w:szCs w:val="21"/>
        </w:rPr>
        <w:tab/>
      </w:r>
      <w:r>
        <w:rPr>
          <w:rFonts w:hint="eastAsia" w:ascii="仿宋" w:hAnsi="仿宋" w:eastAsia="仿宋" w:cs="宋体Y."/>
          <w:color w:val="000000"/>
          <w:kern w:val="0"/>
          <w:szCs w:val="21"/>
        </w:rPr>
        <w:t>本产品的预计成立日或确认日为投资起始日，客户可以根据本产品提供的投资结束日，选择相应的投资期限，投资期限=投资结束日-投资起始日。客户选择对应投资期限后，理财资金将于投资结束日进行自动赎回，并于投资结束日后2个工作日内划入客户指定账户。</w:t>
      </w:r>
    </w:p>
    <w:p>
      <w:pPr>
        <w:rPr>
          <w:rFonts w:ascii="仿宋" w:hAnsi="仿宋" w:eastAsia="仿宋" w:cs="宋体Y."/>
          <w:color w:val="000000"/>
          <w:kern w:val="0"/>
          <w:szCs w:val="21"/>
        </w:rPr>
      </w:pPr>
    </w:p>
    <w:p>
      <w:pPr>
        <w:rPr>
          <w:rFonts w:ascii="仿宋" w:hAnsi="仿宋" w:eastAsia="仿宋" w:cs="宋体Y."/>
          <w:b/>
          <w:color w:val="000000"/>
          <w:kern w:val="0"/>
          <w:szCs w:val="21"/>
        </w:rPr>
      </w:pPr>
      <w:r>
        <w:rPr>
          <w:rFonts w:hint="eastAsia" w:ascii="仿宋" w:hAnsi="仿宋" w:eastAsia="仿宋" w:cs="宋体Y."/>
          <w:b/>
          <w:color w:val="000000"/>
          <w:kern w:val="0"/>
          <w:szCs w:val="21"/>
        </w:rPr>
        <w:t>七、理财产品收益计算及分配</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1、本理财产品的托管费率：0.02%。</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2、本产品的认/申购费率：0%</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3、本理财产品的销售服务费率：0%</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4、本理财的投资管理费：固定管理费：0.2%，按募集本金余额按月计提；实际年化收益率等于或少于经测算可达的年化收益率，则不收取管理费；浮动管理费：实际运作收益扣除托管费、固定管理费等固定费用后，超额部分将作为超额管理费由投资管理人收取。</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5、理财产品客户收益计算示例</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假设本产品公布预期收益率分档情况如下：</w:t>
      </w: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420"/>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1420" w:type="dxa"/>
            <w:tcBorders>
              <w:tl2br w:val="single" w:color="auto" w:sz="4" w:space="0"/>
            </w:tcBorders>
          </w:tcPr>
          <w:p>
            <w:pPr>
              <w:ind w:firstLine="540" w:firstLineChars="300"/>
              <w:rPr>
                <w:rFonts w:ascii="仿宋" w:hAnsi="仿宋" w:eastAsia="仿宋" w:cstheme="minorBidi"/>
                <w:sz w:val="18"/>
                <w:szCs w:val="18"/>
              </w:rPr>
            </w:pPr>
            <w:r>
              <w:rPr>
                <w:rFonts w:hint="eastAsia" w:ascii="仿宋" w:hAnsi="仿宋" w:eastAsia="仿宋" w:cstheme="minorBidi"/>
                <w:sz w:val="18"/>
                <w:szCs w:val="18"/>
              </w:rPr>
              <w:t>投资</w:t>
            </w:r>
          </w:p>
          <w:p>
            <w:pPr>
              <w:rPr>
                <w:rFonts w:ascii="仿宋" w:hAnsi="仿宋" w:eastAsia="仿宋" w:cstheme="minorBidi"/>
                <w:sz w:val="18"/>
                <w:szCs w:val="18"/>
              </w:rPr>
            </w:pPr>
            <w:r>
              <w:rPr>
                <w:rFonts w:hint="eastAsia" w:ascii="仿宋" w:hAnsi="仿宋" w:eastAsia="仿宋" w:cstheme="minorBidi"/>
                <w:sz w:val="18"/>
                <w:szCs w:val="18"/>
              </w:rPr>
              <w:t>购买     期限</w:t>
            </w:r>
          </w:p>
          <w:p>
            <w:pPr>
              <w:rPr>
                <w:rFonts w:asciiTheme="minorHAnsi" w:hAnsiTheme="minorHAnsi" w:eastAsiaTheme="minorEastAsia" w:cstheme="minorBidi"/>
                <w:szCs w:val="22"/>
              </w:rPr>
            </w:pPr>
            <w:r>
              <w:rPr>
                <w:rFonts w:hint="eastAsia" w:ascii="仿宋" w:hAnsi="仿宋" w:eastAsia="仿宋" w:cstheme="minorBidi"/>
                <w:sz w:val="18"/>
                <w:szCs w:val="18"/>
              </w:rPr>
              <w:t xml:space="preserve">起点金额 </w:t>
            </w:r>
          </w:p>
        </w:tc>
        <w:tc>
          <w:tcPr>
            <w:tcW w:w="1420" w:type="dxa"/>
            <w:vAlign w:val="center"/>
          </w:tcPr>
          <w:p>
            <w:pPr>
              <w:jc w:val="center"/>
              <w:rPr>
                <w:rFonts w:ascii="仿宋" w:hAnsi="仿宋" w:eastAsia="仿宋" w:cstheme="minorBidi"/>
                <w:szCs w:val="21"/>
              </w:rPr>
            </w:pPr>
            <w:r>
              <w:rPr>
                <w:rFonts w:hint="eastAsia" w:ascii="仿宋" w:hAnsi="仿宋" w:eastAsia="仿宋" w:cstheme="minorBidi"/>
                <w:szCs w:val="21"/>
              </w:rPr>
              <w:t>30天（含）-50天（含）</w:t>
            </w:r>
          </w:p>
        </w:tc>
        <w:tc>
          <w:tcPr>
            <w:tcW w:w="1420" w:type="dxa"/>
            <w:vAlign w:val="center"/>
          </w:tcPr>
          <w:p>
            <w:pPr>
              <w:jc w:val="center"/>
              <w:rPr>
                <w:rFonts w:ascii="仿宋" w:hAnsi="仿宋" w:eastAsia="仿宋" w:cstheme="minorBidi"/>
                <w:szCs w:val="21"/>
              </w:rPr>
            </w:pPr>
            <w:r>
              <w:rPr>
                <w:rFonts w:hint="eastAsia" w:ascii="仿宋" w:hAnsi="仿宋" w:eastAsia="仿宋" w:cstheme="minorBidi"/>
                <w:szCs w:val="21"/>
              </w:rPr>
              <w:t>50天（不含）-70天（含）</w:t>
            </w:r>
          </w:p>
        </w:tc>
        <w:tc>
          <w:tcPr>
            <w:tcW w:w="1420" w:type="dxa"/>
            <w:vAlign w:val="center"/>
          </w:tcPr>
          <w:p>
            <w:pPr>
              <w:jc w:val="center"/>
              <w:rPr>
                <w:rFonts w:ascii="仿宋" w:hAnsi="仿宋" w:eastAsia="仿宋" w:cstheme="minorBidi"/>
                <w:szCs w:val="21"/>
              </w:rPr>
            </w:pPr>
            <w:r>
              <w:rPr>
                <w:rFonts w:hint="eastAsia" w:ascii="仿宋" w:hAnsi="仿宋" w:eastAsia="仿宋" w:cstheme="minorBidi"/>
                <w:szCs w:val="21"/>
              </w:rPr>
              <w:t>70天（不含）-100天（含）</w:t>
            </w:r>
          </w:p>
        </w:tc>
        <w:tc>
          <w:tcPr>
            <w:tcW w:w="1421" w:type="dxa"/>
            <w:vAlign w:val="center"/>
          </w:tcPr>
          <w:p>
            <w:pPr>
              <w:jc w:val="center"/>
              <w:rPr>
                <w:rFonts w:ascii="仿宋" w:hAnsi="仿宋" w:eastAsia="仿宋" w:cstheme="minorBidi"/>
                <w:szCs w:val="21"/>
              </w:rPr>
            </w:pPr>
            <w:r>
              <w:rPr>
                <w:rFonts w:hint="eastAsia" w:ascii="仿宋" w:hAnsi="仿宋" w:eastAsia="仿宋" w:cstheme="minorBidi"/>
                <w:szCs w:val="21"/>
              </w:rPr>
              <w:t>100天（不含）-200天（含）</w:t>
            </w:r>
          </w:p>
        </w:tc>
        <w:tc>
          <w:tcPr>
            <w:tcW w:w="1421" w:type="dxa"/>
            <w:vAlign w:val="center"/>
          </w:tcPr>
          <w:p>
            <w:pPr>
              <w:jc w:val="center"/>
              <w:rPr>
                <w:rFonts w:ascii="仿宋" w:hAnsi="仿宋" w:eastAsia="仿宋" w:cstheme="minorBidi"/>
                <w:szCs w:val="21"/>
              </w:rPr>
            </w:pPr>
            <w:r>
              <w:rPr>
                <w:rFonts w:hint="eastAsia" w:ascii="仿宋" w:hAnsi="仿宋" w:eastAsia="仿宋" w:cstheme="minorBidi"/>
                <w:szCs w:val="21"/>
              </w:rPr>
              <w:t>200天（不含）以上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rPr>
                <w:rFonts w:ascii="仿宋" w:hAnsi="仿宋" w:eastAsia="仿宋" w:cstheme="minorBidi"/>
                <w:szCs w:val="22"/>
              </w:rPr>
            </w:pPr>
            <w:r>
              <w:rPr>
                <w:rFonts w:hint="eastAsia" w:ascii="仿宋" w:hAnsi="仿宋" w:eastAsia="仿宋" w:cstheme="minorBidi"/>
                <w:szCs w:val="22"/>
              </w:rPr>
              <w:t>20万元</w:t>
            </w:r>
          </w:p>
        </w:tc>
        <w:tc>
          <w:tcPr>
            <w:tcW w:w="1420" w:type="dxa"/>
          </w:tcPr>
          <w:p>
            <w:pPr>
              <w:rPr>
                <w:rFonts w:ascii="仿宋" w:hAnsi="仿宋" w:eastAsia="仿宋" w:cstheme="minorBidi"/>
                <w:szCs w:val="22"/>
              </w:rPr>
            </w:pPr>
            <w:r>
              <w:rPr>
                <w:rFonts w:hint="eastAsia" w:ascii="仿宋" w:hAnsi="仿宋" w:eastAsia="仿宋" w:cstheme="minorBidi"/>
                <w:szCs w:val="22"/>
              </w:rPr>
              <w:t>4.00%</w:t>
            </w:r>
          </w:p>
        </w:tc>
        <w:tc>
          <w:tcPr>
            <w:tcW w:w="1420" w:type="dxa"/>
          </w:tcPr>
          <w:p>
            <w:pPr>
              <w:rPr>
                <w:rFonts w:ascii="仿宋" w:hAnsi="仿宋" w:eastAsia="仿宋" w:cstheme="minorBidi"/>
                <w:szCs w:val="22"/>
              </w:rPr>
            </w:pPr>
            <w:r>
              <w:rPr>
                <w:rFonts w:hint="eastAsia" w:ascii="仿宋" w:hAnsi="仿宋" w:eastAsia="仿宋" w:cstheme="minorBidi"/>
                <w:szCs w:val="22"/>
              </w:rPr>
              <w:t>4.05%</w:t>
            </w:r>
          </w:p>
        </w:tc>
        <w:tc>
          <w:tcPr>
            <w:tcW w:w="1420" w:type="dxa"/>
          </w:tcPr>
          <w:p>
            <w:pPr>
              <w:rPr>
                <w:rFonts w:ascii="仿宋" w:hAnsi="仿宋" w:eastAsia="仿宋" w:cstheme="minorBidi"/>
                <w:szCs w:val="22"/>
              </w:rPr>
            </w:pPr>
            <w:r>
              <w:rPr>
                <w:rFonts w:hint="eastAsia" w:ascii="仿宋" w:hAnsi="仿宋" w:eastAsia="仿宋" w:cstheme="minorBidi"/>
                <w:szCs w:val="22"/>
              </w:rPr>
              <w:t>4.10%</w:t>
            </w:r>
          </w:p>
        </w:tc>
        <w:tc>
          <w:tcPr>
            <w:tcW w:w="1421" w:type="dxa"/>
          </w:tcPr>
          <w:p>
            <w:pPr>
              <w:rPr>
                <w:rFonts w:ascii="仿宋" w:hAnsi="仿宋" w:eastAsia="仿宋" w:cstheme="minorBidi"/>
                <w:szCs w:val="22"/>
              </w:rPr>
            </w:pPr>
            <w:r>
              <w:rPr>
                <w:rFonts w:hint="eastAsia" w:ascii="仿宋" w:hAnsi="仿宋" w:eastAsia="仿宋" w:cstheme="minorBidi"/>
                <w:szCs w:val="22"/>
              </w:rPr>
              <w:t>4.15%</w:t>
            </w:r>
          </w:p>
        </w:tc>
        <w:tc>
          <w:tcPr>
            <w:tcW w:w="1421" w:type="dxa"/>
          </w:tcPr>
          <w:p>
            <w:pPr>
              <w:rPr>
                <w:rFonts w:ascii="仿宋" w:hAnsi="仿宋" w:eastAsia="仿宋" w:cstheme="minorBidi"/>
                <w:szCs w:val="22"/>
              </w:rPr>
            </w:pPr>
            <w:r>
              <w:rPr>
                <w:rFonts w:hint="eastAsia" w:ascii="仿宋" w:hAnsi="仿宋" w:eastAsia="仿宋" w:cstheme="minorBidi"/>
                <w:szCs w:val="22"/>
              </w:rPr>
              <w:t>4.20%</w:t>
            </w:r>
          </w:p>
        </w:tc>
      </w:tr>
    </w:tbl>
    <w:p>
      <w:pPr>
        <w:ind w:firstLine="420"/>
        <w:rPr>
          <w:rFonts w:ascii="仿宋" w:hAnsi="仿宋" w:eastAsia="仿宋" w:cs="宋体Y."/>
          <w:color w:val="000000"/>
          <w:kern w:val="0"/>
          <w:szCs w:val="21"/>
        </w:rPr>
      </w:pP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 xml:space="preserve">客户申购金额为200000元，选择投资期限为35天，投资结束日达到4.00%的实际收益，则客户收益计算和实现理财收益如下： </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该客户理财收益=200000*4.00%*35/365=767.12（元）</w:t>
      </w:r>
    </w:p>
    <w:p>
      <w:pPr>
        <w:ind w:firstLine="420"/>
        <w:rPr>
          <w:rFonts w:ascii="仿宋" w:hAnsi="仿宋" w:eastAsia="仿宋" w:cs="宋体Y."/>
          <w:b/>
          <w:color w:val="000000"/>
          <w:kern w:val="0"/>
          <w:szCs w:val="21"/>
        </w:rPr>
      </w:pPr>
      <w:r>
        <w:rPr>
          <w:rFonts w:hint="eastAsia" w:ascii="仿宋" w:hAnsi="仿宋" w:eastAsia="仿宋" w:cs="宋体Y."/>
          <w:b/>
          <w:color w:val="000000"/>
          <w:kern w:val="0"/>
          <w:szCs w:val="21"/>
        </w:rPr>
        <w:t>(测算收益不等于实际收益,投资需谨慎)</w:t>
      </w:r>
    </w:p>
    <w:p>
      <w:pPr>
        <w:autoSpaceDE w:val="0"/>
        <w:autoSpaceDN w:val="0"/>
        <w:adjustRightInd w:val="0"/>
        <w:ind w:firstLine="420"/>
        <w:jc w:val="left"/>
        <w:rPr>
          <w:rFonts w:ascii="仿宋" w:hAnsi="仿宋" w:eastAsia="仿宋" w:cs="宋体Y."/>
          <w:color w:val="000000"/>
          <w:kern w:val="0"/>
          <w:szCs w:val="21"/>
        </w:rPr>
      </w:pPr>
      <w:r>
        <w:rPr>
          <w:rFonts w:hint="eastAsia" w:ascii="仿宋" w:hAnsi="仿宋" w:eastAsia="仿宋" w:cs="宋体Y."/>
          <w:color w:val="000000"/>
          <w:kern w:val="0"/>
          <w:szCs w:val="21"/>
        </w:rPr>
        <w:t>5、本金及理财收益风险</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本产品产品类型为</w:t>
      </w:r>
      <w:r>
        <w:rPr>
          <w:rFonts w:hint="eastAsia" w:ascii="仿宋" w:hAnsi="仿宋" w:eastAsia="仿宋" w:cs="宋体Y."/>
          <w:color w:val="FF0000"/>
          <w:kern w:val="0"/>
          <w:szCs w:val="21"/>
        </w:rPr>
        <w:t>非保本浮动收益</w:t>
      </w:r>
      <w:r>
        <w:rPr>
          <w:rFonts w:hint="eastAsia" w:ascii="仿宋" w:hAnsi="仿宋" w:eastAsia="仿宋" w:cs="宋体Y."/>
          <w:color w:val="000000"/>
          <w:kern w:val="0"/>
          <w:szCs w:val="21"/>
        </w:rPr>
        <w:t>，</w:t>
      </w:r>
      <w:r>
        <w:rPr>
          <w:rFonts w:hint="eastAsia" w:ascii="仿宋" w:hAnsi="仿宋" w:eastAsia="仿宋" w:cs="宋体Y."/>
          <w:color w:val="FF0000"/>
          <w:kern w:val="0"/>
          <w:szCs w:val="21"/>
        </w:rPr>
        <w:t>有投资风险，不保障理财资金本金，也不保证理财收益，您应充分认识投资风险，谨慎投资。在最不利投资情形即投资者违约赎回的情况下，可能会损失部分或全部本金。</w:t>
      </w:r>
    </w:p>
    <w:p>
      <w:pPr>
        <w:rPr>
          <w:rFonts w:ascii="仿宋" w:hAnsi="仿宋" w:eastAsia="仿宋"/>
          <w:b/>
          <w:szCs w:val="21"/>
        </w:rPr>
      </w:pPr>
      <w:r>
        <w:rPr>
          <w:rFonts w:hint="eastAsia" w:ascii="仿宋" w:hAnsi="仿宋" w:eastAsia="仿宋"/>
          <w:b/>
          <w:szCs w:val="21"/>
        </w:rPr>
        <w:t>八、理财产品认购</w:t>
      </w:r>
    </w:p>
    <w:p>
      <w:pPr>
        <w:ind w:firstLine="420" w:firstLineChars="200"/>
        <w:rPr>
          <w:rFonts w:ascii="仿宋" w:hAnsi="仿宋" w:eastAsia="仿宋"/>
          <w:szCs w:val="21"/>
        </w:rPr>
      </w:pPr>
      <w:r>
        <w:rPr>
          <w:rFonts w:hint="eastAsia" w:ascii="仿宋" w:hAnsi="仿宋" w:eastAsia="仿宋"/>
          <w:szCs w:val="21"/>
        </w:rPr>
        <w:t>1、认购时间：</w:t>
      </w:r>
      <w:r>
        <w:rPr>
          <w:rFonts w:hint="eastAsia" w:ascii="仿宋_GB2312" w:hAnsi="仿宋" w:eastAsia="仿宋_GB2312"/>
          <w:sz w:val="24"/>
        </w:rPr>
        <w:t>2017年1月5日至2017年1月11日</w:t>
      </w:r>
      <w:r>
        <w:rPr>
          <w:rFonts w:hint="eastAsia" w:ascii="仿宋" w:hAnsi="仿宋" w:eastAsia="仿宋"/>
          <w:szCs w:val="21"/>
        </w:rPr>
        <w:t>，认购期内的每日9:00到15：00为认购开放时间，15:00之后的认购为预约认购，将延至下一工作日处理。</w:t>
      </w:r>
    </w:p>
    <w:p>
      <w:pPr>
        <w:ind w:firstLine="420" w:firstLineChars="200"/>
        <w:rPr>
          <w:rFonts w:ascii="仿宋" w:hAnsi="仿宋" w:eastAsia="仿宋"/>
          <w:szCs w:val="21"/>
        </w:rPr>
      </w:pPr>
      <w:r>
        <w:rPr>
          <w:rFonts w:hint="eastAsia" w:ascii="仿宋" w:hAnsi="仿宋" w:eastAsia="仿宋"/>
          <w:szCs w:val="21"/>
        </w:rPr>
        <w:t>2、如出现市场剧烈波动、相关法规政策变化或其他可能影响本产品正常运作的情况，</w:t>
      </w:r>
      <w:r>
        <w:rPr>
          <w:rFonts w:hint="eastAsia" w:ascii="仿宋" w:hAnsi="仿宋" w:eastAsia="仿宋" w:cs="宋体Y."/>
          <w:kern w:val="0"/>
          <w:szCs w:val="21"/>
        </w:rPr>
        <w:t>江南农村商业银行</w:t>
      </w:r>
      <w:r>
        <w:rPr>
          <w:rFonts w:hint="eastAsia" w:ascii="仿宋" w:hAnsi="仿宋" w:eastAsia="仿宋"/>
          <w:szCs w:val="21"/>
        </w:rPr>
        <w:t>有权停止报价，投资者将无法在上述约定的认购时间内认购本产品。如果本产品停止认购，投资者除无法获得本产品约定的投资收益外，还可能影响其投资安排。</w:t>
      </w:r>
    </w:p>
    <w:p>
      <w:pPr>
        <w:ind w:firstLine="420" w:firstLineChars="200"/>
        <w:rPr>
          <w:rFonts w:ascii="仿宋" w:hAnsi="仿宋" w:eastAsia="仿宋"/>
          <w:szCs w:val="21"/>
        </w:rPr>
      </w:pPr>
      <w:r>
        <w:rPr>
          <w:rFonts w:hint="eastAsia" w:ascii="仿宋" w:hAnsi="仿宋" w:eastAsia="仿宋"/>
          <w:szCs w:val="21"/>
        </w:rPr>
        <w:t>3、自开始认购至认购结束的期间，如市场发生剧烈波动且经</w:t>
      </w:r>
      <w:r>
        <w:rPr>
          <w:rFonts w:hint="eastAsia" w:ascii="仿宋" w:hAnsi="仿宋" w:eastAsia="仿宋" w:cs="宋体Y."/>
          <w:kern w:val="0"/>
          <w:szCs w:val="21"/>
        </w:rPr>
        <w:t>江南农村商业银行</w:t>
      </w:r>
      <w:r>
        <w:rPr>
          <w:rFonts w:hint="eastAsia" w:ascii="仿宋" w:hAnsi="仿宋" w:eastAsia="仿宋"/>
          <w:szCs w:val="21"/>
        </w:rPr>
        <w:t>合理判断难以按照本产品说明书规定向客户提供该理财产品，则</w:t>
      </w:r>
      <w:r>
        <w:rPr>
          <w:rFonts w:hint="eastAsia" w:ascii="仿宋" w:hAnsi="仿宋" w:eastAsia="仿宋" w:cs="宋体Y."/>
          <w:kern w:val="0"/>
          <w:szCs w:val="21"/>
        </w:rPr>
        <w:t>江南农村商业银行</w:t>
      </w:r>
      <w:r>
        <w:rPr>
          <w:rFonts w:hint="eastAsia" w:ascii="仿宋" w:hAnsi="仿宋" w:eastAsia="仿宋"/>
          <w:szCs w:val="21"/>
        </w:rPr>
        <w:t>有权宣布不成立，如该理财产品不成立，</w:t>
      </w:r>
      <w:r>
        <w:rPr>
          <w:rFonts w:hint="eastAsia" w:ascii="仿宋" w:hAnsi="仿宋" w:eastAsia="仿宋" w:cs="宋体Y."/>
          <w:kern w:val="0"/>
          <w:szCs w:val="21"/>
        </w:rPr>
        <w:t>江南农村商业银行</w:t>
      </w:r>
      <w:r>
        <w:rPr>
          <w:rFonts w:hint="eastAsia" w:ascii="仿宋" w:hAnsi="仿宋" w:eastAsia="仿宋" w:cs="ﾋﾎﾌ蚰ﾅﾝ.."/>
          <w:kern w:val="0"/>
          <w:szCs w:val="21"/>
        </w:rPr>
        <w:t>（或代销机构）</w:t>
      </w:r>
      <w:r>
        <w:rPr>
          <w:rFonts w:hint="eastAsia" w:ascii="仿宋" w:hAnsi="仿宋" w:eastAsia="仿宋"/>
          <w:szCs w:val="21"/>
        </w:rPr>
        <w:t>将于原定成立日后2个工作日内将已认购资金退回投资者指定账户，认购登记日至退回资金到账日期间不计付利息。因此，如果理财产品不成立，投资者除无法获得本产品约定的投资收益外，还将影响其投资安排。</w:t>
      </w:r>
    </w:p>
    <w:p>
      <w:pPr>
        <w:ind w:firstLine="420" w:firstLineChars="200"/>
        <w:rPr>
          <w:rFonts w:ascii="仿宋" w:hAnsi="仿宋" w:eastAsia="仿宋"/>
          <w:szCs w:val="21"/>
        </w:rPr>
      </w:pPr>
      <w:r>
        <w:rPr>
          <w:rFonts w:hint="eastAsia" w:ascii="仿宋" w:hAnsi="仿宋" w:eastAsia="仿宋"/>
          <w:szCs w:val="21"/>
        </w:rPr>
        <w:t>4、发售对象：本产品仅向依据中华人民共和国有关法律法规及其他有关规定可以认购本产品的合格投资者发售。</w:t>
      </w:r>
    </w:p>
    <w:p>
      <w:pPr>
        <w:ind w:firstLine="420" w:firstLineChars="200"/>
        <w:rPr>
          <w:rFonts w:ascii="仿宋" w:hAnsi="仿宋" w:eastAsia="仿宋"/>
          <w:szCs w:val="21"/>
        </w:rPr>
      </w:pPr>
      <w:r>
        <w:rPr>
          <w:rFonts w:hint="eastAsia" w:ascii="仿宋" w:hAnsi="仿宋" w:eastAsia="仿宋"/>
          <w:szCs w:val="21"/>
        </w:rPr>
        <w:t>5、认购手续：在理财产品认购期内，个人投资者携带本人有效身份证件和江南农村商业银行卡（折）（或代销机构发行的银行卡（折））、机构投资者携带相关证件资料至各销售网点办理，或通过江南农村商业银行网上银行证书版、手机银行认购。</w:t>
      </w:r>
    </w:p>
    <w:p>
      <w:pPr>
        <w:ind w:firstLine="420" w:firstLineChars="200"/>
        <w:rPr>
          <w:rFonts w:ascii="仿宋" w:hAnsi="仿宋" w:eastAsia="仿宋"/>
          <w:szCs w:val="21"/>
        </w:rPr>
      </w:pPr>
      <w:r>
        <w:rPr>
          <w:rFonts w:hint="eastAsia" w:ascii="仿宋" w:hAnsi="仿宋" w:eastAsia="仿宋"/>
          <w:szCs w:val="21"/>
        </w:rPr>
        <w:t>6、认购撤单：已认购的理财产品在该理财产品认购开放时间内允许撤单(末日认购除外)。</w:t>
      </w:r>
    </w:p>
    <w:p>
      <w:pPr>
        <w:rPr>
          <w:rFonts w:ascii="仿宋" w:hAnsi="仿宋" w:eastAsia="仿宋" w:cs="宋体Y."/>
          <w:b/>
          <w:color w:val="000000"/>
          <w:kern w:val="0"/>
          <w:szCs w:val="21"/>
        </w:rPr>
      </w:pPr>
      <w:r>
        <w:rPr>
          <w:rFonts w:hint="eastAsia" w:ascii="仿宋" w:hAnsi="仿宋" w:eastAsia="仿宋" w:cs="宋体Y."/>
          <w:b/>
          <w:color w:val="000000"/>
          <w:kern w:val="0"/>
          <w:szCs w:val="21"/>
        </w:rPr>
        <w:t>九、理财产品申购</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1、自本产品成立之日起，每个工作日为产品开放日，交易时间为开放日的9：00-15：00，投资者可在开放日交易时间段内提交申购申请，开放日</w:t>
      </w:r>
      <w:r>
        <w:rPr>
          <w:rFonts w:ascii="仿宋" w:hAnsi="仿宋" w:eastAsia="仿宋" w:cs="宋体Y."/>
          <w:color w:val="000000"/>
          <w:kern w:val="0"/>
          <w:szCs w:val="21"/>
        </w:rPr>
        <w:t>15</w:t>
      </w:r>
      <w:r>
        <w:rPr>
          <w:rFonts w:hint="eastAsia" w:ascii="仿宋" w:hAnsi="仿宋" w:eastAsia="仿宋" w:cs="宋体Y."/>
          <w:color w:val="000000"/>
          <w:kern w:val="0"/>
          <w:szCs w:val="21"/>
        </w:rPr>
        <w:t>：</w:t>
      </w:r>
      <w:r>
        <w:rPr>
          <w:rFonts w:ascii="仿宋" w:hAnsi="仿宋" w:eastAsia="仿宋" w:cs="宋体Y."/>
          <w:color w:val="000000"/>
          <w:kern w:val="0"/>
          <w:szCs w:val="21"/>
        </w:rPr>
        <w:t>00</w:t>
      </w:r>
      <w:r>
        <w:rPr>
          <w:rFonts w:hint="eastAsia" w:ascii="仿宋" w:hAnsi="仿宋" w:eastAsia="仿宋" w:cs="宋体Y."/>
          <w:color w:val="000000"/>
          <w:kern w:val="0"/>
          <w:szCs w:val="21"/>
        </w:rPr>
        <w:t>之后提交的申请属于预约交易，自动延至下一开放日处理。客户申购成功后，本行将冻结客户账户中的资金，等到确认日统一进行确认。</w:t>
      </w:r>
    </w:p>
    <w:p>
      <w:pPr>
        <w:ind w:firstLine="420" w:firstLineChars="200"/>
        <w:rPr>
          <w:rFonts w:ascii="仿宋" w:hAnsi="仿宋" w:eastAsia="仿宋"/>
          <w:szCs w:val="21"/>
        </w:rPr>
      </w:pPr>
      <w:r>
        <w:rPr>
          <w:rFonts w:hint="eastAsia" w:ascii="仿宋" w:hAnsi="仿宋" w:eastAsia="仿宋"/>
          <w:szCs w:val="21"/>
        </w:rPr>
        <w:t>2、申购手续：在理财产品开放日和预约日内，个人投资者携带本人有效身份证件和江南农村商业银行卡（折）（或代销机构发行的银行卡（折））、机构投资者携带相关证件资料至各销售网点办理，或通过江南农村商业银行网上银行证书版、手机银行申购。</w:t>
      </w:r>
    </w:p>
    <w:p>
      <w:pPr>
        <w:ind w:firstLine="420" w:firstLineChars="200"/>
        <w:rPr>
          <w:rFonts w:ascii="仿宋" w:hAnsi="仿宋" w:eastAsia="仿宋"/>
          <w:szCs w:val="21"/>
        </w:rPr>
      </w:pPr>
      <w:r>
        <w:rPr>
          <w:rFonts w:hint="eastAsia" w:ascii="仿宋" w:hAnsi="仿宋" w:eastAsia="仿宋"/>
          <w:szCs w:val="21"/>
        </w:rPr>
        <w:t>3、申购撤单：已申购冻结的理财资金在下一个确认日之前允许撤单。</w:t>
      </w:r>
    </w:p>
    <w:p>
      <w:pPr>
        <w:rPr>
          <w:rFonts w:ascii="仿宋" w:hAnsi="仿宋" w:eastAsia="仿宋" w:cs="宋体Y."/>
          <w:b/>
          <w:color w:val="000000"/>
          <w:kern w:val="0"/>
          <w:szCs w:val="21"/>
        </w:rPr>
      </w:pPr>
      <w:r>
        <w:rPr>
          <w:rFonts w:hint="eastAsia" w:ascii="仿宋" w:hAnsi="仿宋" w:eastAsia="仿宋" w:cs="宋体Y."/>
          <w:b/>
          <w:color w:val="000000"/>
          <w:kern w:val="0"/>
          <w:szCs w:val="21"/>
        </w:rPr>
        <w:t>十、提前终止</w:t>
      </w:r>
    </w:p>
    <w:p>
      <w:pPr>
        <w:rPr>
          <w:rFonts w:ascii="仿宋" w:hAnsi="仿宋" w:eastAsia="仿宋" w:cs="宋体Y."/>
          <w:color w:val="000000"/>
          <w:kern w:val="0"/>
          <w:szCs w:val="21"/>
        </w:rPr>
      </w:pPr>
      <w:r>
        <w:rPr>
          <w:rFonts w:hint="eastAsia" w:ascii="仿宋" w:hAnsi="仿宋" w:eastAsia="仿宋" w:cs="宋体Y."/>
          <w:color w:val="000000"/>
          <w:kern w:val="0"/>
          <w:szCs w:val="21"/>
        </w:rPr>
        <w:tab/>
      </w:r>
      <w:r>
        <w:rPr>
          <w:rFonts w:hint="eastAsia" w:ascii="仿宋" w:hAnsi="仿宋" w:eastAsia="仿宋" w:cs="宋体Y."/>
          <w:color w:val="000000"/>
          <w:kern w:val="0"/>
          <w:szCs w:val="21"/>
        </w:rPr>
        <w:t>1、本产品无固定期限，当产品金额低于100万元时，本理财产品提前终止。提前终止时按投资人持有的理财产品份额和产品实际实现收益状况进行一次性分配。</w:t>
      </w:r>
    </w:p>
    <w:p>
      <w:pPr>
        <w:rPr>
          <w:rFonts w:ascii="仿宋" w:hAnsi="仿宋" w:eastAsia="仿宋" w:cs="宋体Y."/>
          <w:color w:val="000000"/>
          <w:kern w:val="0"/>
          <w:szCs w:val="21"/>
        </w:rPr>
      </w:pPr>
      <w:r>
        <w:rPr>
          <w:rFonts w:hint="eastAsia" w:ascii="仿宋" w:hAnsi="仿宋" w:eastAsia="仿宋" w:cs="宋体Y."/>
          <w:color w:val="000000"/>
          <w:kern w:val="0"/>
          <w:szCs w:val="21"/>
        </w:rPr>
        <w:tab/>
      </w:r>
      <w:r>
        <w:rPr>
          <w:rFonts w:hint="eastAsia" w:ascii="仿宋" w:hAnsi="仿宋" w:eastAsia="仿宋" w:cs="宋体Y."/>
          <w:color w:val="000000"/>
          <w:kern w:val="0"/>
          <w:szCs w:val="21"/>
        </w:rPr>
        <w:t>2、在提前终止日，按产品实际实现收益向投资人进行分配。</w:t>
      </w:r>
    </w:p>
    <w:p>
      <w:pPr>
        <w:rPr>
          <w:rFonts w:ascii="仿宋" w:hAnsi="仿宋" w:eastAsia="仿宋"/>
          <w:szCs w:val="21"/>
        </w:rPr>
      </w:pPr>
      <w:r>
        <w:rPr>
          <w:rFonts w:hint="eastAsia" w:ascii="仿宋" w:hAnsi="仿宋" w:eastAsia="仿宋" w:cs="宋体Y."/>
          <w:color w:val="000000"/>
          <w:kern w:val="0"/>
          <w:szCs w:val="21"/>
        </w:rPr>
        <w:tab/>
      </w:r>
      <w:r>
        <w:rPr>
          <w:rFonts w:hint="eastAsia" w:ascii="仿宋" w:hAnsi="仿宋" w:eastAsia="仿宋" w:cs="宋体Y."/>
          <w:color w:val="000000"/>
          <w:kern w:val="0"/>
          <w:szCs w:val="21"/>
        </w:rPr>
        <w:t>3、</w:t>
      </w:r>
      <w:r>
        <w:rPr>
          <w:rFonts w:hint="eastAsia" w:ascii="仿宋" w:hAnsi="仿宋" w:eastAsia="仿宋"/>
          <w:szCs w:val="21"/>
        </w:rPr>
        <w:t>如遇国家金融政策出现重大调整并影响到本产品的正常运作时，</w:t>
      </w:r>
      <w:r>
        <w:rPr>
          <w:rFonts w:hint="eastAsia" w:ascii="仿宋" w:hAnsi="仿宋" w:eastAsia="仿宋" w:cs="宋体Y."/>
          <w:color w:val="000000"/>
          <w:kern w:val="0"/>
          <w:szCs w:val="21"/>
        </w:rPr>
        <w:t>江南农村商业银行</w:t>
      </w:r>
      <w:r>
        <w:rPr>
          <w:rFonts w:hint="eastAsia" w:ascii="仿宋" w:hAnsi="仿宋" w:eastAsia="仿宋"/>
          <w:szCs w:val="21"/>
        </w:rPr>
        <w:t>有权提前终止本产品。</w:t>
      </w:r>
    </w:p>
    <w:p>
      <w:pPr>
        <w:rPr>
          <w:rFonts w:ascii="仿宋" w:hAnsi="仿宋" w:eastAsia="仿宋"/>
          <w:szCs w:val="21"/>
        </w:rPr>
      </w:pPr>
      <w:r>
        <w:rPr>
          <w:rFonts w:hint="eastAsia" w:ascii="仿宋" w:hAnsi="仿宋" w:eastAsia="仿宋"/>
          <w:szCs w:val="21"/>
        </w:rPr>
        <w:tab/>
      </w:r>
      <w:r>
        <w:rPr>
          <w:rFonts w:hint="eastAsia" w:ascii="仿宋" w:hAnsi="仿宋" w:eastAsia="仿宋"/>
          <w:szCs w:val="21"/>
        </w:rPr>
        <w:t>4、如</w:t>
      </w:r>
      <w:r>
        <w:rPr>
          <w:rFonts w:hint="eastAsia" w:ascii="仿宋" w:hAnsi="仿宋" w:eastAsia="仿宋" w:cs="宋体Y."/>
          <w:color w:val="000000"/>
          <w:kern w:val="0"/>
          <w:szCs w:val="21"/>
        </w:rPr>
        <w:t>江南农村商业银行</w:t>
      </w:r>
      <w:r>
        <w:rPr>
          <w:rFonts w:hint="eastAsia" w:ascii="仿宋" w:hAnsi="仿宋" w:eastAsia="仿宋"/>
          <w:szCs w:val="21"/>
        </w:rPr>
        <w:t>决定提前终止该理财产品，须在提前终止日前2个工作日，在官方网站（www.jnbank.com.cn）和各营业网点发布相关信息公告。并在提前终止日后2个工作日内将投资者理财本金和理财收益划转至投资者指定账户。</w:t>
      </w:r>
    </w:p>
    <w:p>
      <w:pPr>
        <w:rPr>
          <w:rFonts w:ascii="仿宋" w:hAnsi="仿宋" w:eastAsia="仿宋" w:cs="宋体"/>
          <w:b/>
          <w:kern w:val="0"/>
          <w:szCs w:val="21"/>
        </w:rPr>
      </w:pPr>
      <w:r>
        <w:rPr>
          <w:rFonts w:hint="eastAsia" w:ascii="仿宋" w:hAnsi="仿宋" w:eastAsia="仿宋" w:cs="宋体"/>
          <w:b/>
          <w:kern w:val="0"/>
          <w:szCs w:val="21"/>
        </w:rPr>
        <w:t>十一、适合客户类别</w:t>
      </w:r>
    </w:p>
    <w:p>
      <w:pPr>
        <w:jc w:val="left"/>
        <w:rPr>
          <w:rFonts w:ascii="宋体" w:hAnsi="宋体"/>
          <w:color w:val="7030A0"/>
          <w:kern w:val="0"/>
          <w:szCs w:val="21"/>
        </w:rPr>
      </w:pPr>
      <w:r>
        <w:rPr>
          <w:rFonts w:hint="eastAsia" w:ascii="仿宋" w:hAnsi="仿宋" w:eastAsia="仿宋"/>
          <w:color w:val="7030A0"/>
          <w:szCs w:val="21"/>
        </w:rPr>
        <w:tab/>
      </w:r>
      <w:r>
        <w:rPr>
          <w:rFonts w:hint="eastAsia" w:ascii="仿宋" w:hAnsi="仿宋" w:eastAsia="仿宋"/>
          <w:color w:val="7030A0"/>
          <w:szCs w:val="21"/>
        </w:rPr>
        <w:t>根据我行理财产品内部风险评估，该产品风险等级为中低级（本风险等级为我行内部风险评估结果，仅供参考，我行不对前述风险评估结果的准确性做出任何形式的保证，也不承担任何法律责任），适合风险属性为稳健型（中低级）及以上的有投资经验或无投资经验的客户购买。</w:t>
      </w:r>
    </w:p>
    <w:p>
      <w:pPr>
        <w:rPr>
          <w:rFonts w:ascii="仿宋" w:hAnsi="仿宋" w:eastAsia="仿宋"/>
          <w:b/>
          <w:szCs w:val="21"/>
        </w:rPr>
      </w:pPr>
      <w:r>
        <w:rPr>
          <w:rFonts w:hint="eastAsia" w:ascii="仿宋" w:hAnsi="仿宋" w:eastAsia="仿宋"/>
          <w:b/>
          <w:szCs w:val="21"/>
        </w:rPr>
        <w:t>十二、信息公告</w:t>
      </w:r>
    </w:p>
    <w:p>
      <w:pPr>
        <w:rPr>
          <w:rFonts w:ascii="仿宋" w:hAnsi="仿宋" w:eastAsia="仿宋" w:cs="宋体Y."/>
          <w:color w:val="000000"/>
          <w:kern w:val="0"/>
          <w:szCs w:val="21"/>
        </w:rPr>
      </w:pPr>
      <w:r>
        <w:rPr>
          <w:rFonts w:hint="eastAsia" w:ascii="仿宋" w:hAnsi="仿宋" w:eastAsia="仿宋"/>
          <w:szCs w:val="21"/>
        </w:rPr>
        <w:tab/>
      </w:r>
      <w:r>
        <w:rPr>
          <w:rFonts w:ascii="仿宋" w:hAnsi="仿宋" w:eastAsia="仿宋"/>
          <w:szCs w:val="21"/>
        </w:rPr>
        <w:t>1</w:t>
      </w:r>
      <w:r>
        <w:rPr>
          <w:rFonts w:hint="eastAsia" w:ascii="仿宋" w:hAnsi="仿宋" w:eastAsia="仿宋" w:cs="宋体Y."/>
          <w:color w:val="000000"/>
          <w:kern w:val="0"/>
          <w:szCs w:val="21"/>
        </w:rPr>
        <w:t>、本理财产品成立后，江南农村商业银行应于调整预期收益率和确认日前1个工作日，</w:t>
      </w:r>
      <w:r>
        <w:rPr>
          <w:rFonts w:hint="eastAsia" w:ascii="仿宋" w:hAnsi="仿宋" w:eastAsia="仿宋"/>
          <w:szCs w:val="21"/>
        </w:rPr>
        <w:t>在官方网站（www.jnbank.com.cn）和各营业网点发布相关信息公告</w:t>
      </w:r>
      <w:r>
        <w:rPr>
          <w:rFonts w:hint="eastAsia" w:ascii="仿宋" w:hAnsi="仿宋" w:eastAsia="仿宋" w:cs="宋体Y."/>
          <w:color w:val="000000"/>
          <w:kern w:val="0"/>
          <w:szCs w:val="21"/>
        </w:rPr>
        <w:t>。</w:t>
      </w:r>
    </w:p>
    <w:p>
      <w:pPr>
        <w:rPr>
          <w:rFonts w:ascii="仿宋" w:hAnsi="仿宋" w:eastAsia="仿宋"/>
          <w:szCs w:val="21"/>
        </w:rPr>
      </w:pPr>
      <w:r>
        <w:rPr>
          <w:rFonts w:hint="eastAsia" w:ascii="仿宋" w:hAnsi="仿宋" w:eastAsia="仿宋"/>
          <w:szCs w:val="21"/>
        </w:rPr>
        <w:tab/>
      </w:r>
      <w:r>
        <w:rPr>
          <w:rFonts w:hint="eastAsia" w:ascii="仿宋" w:hAnsi="仿宋" w:eastAsia="仿宋"/>
          <w:szCs w:val="21"/>
        </w:rPr>
        <w:t>2、如</w:t>
      </w:r>
      <w:r>
        <w:rPr>
          <w:rFonts w:hint="eastAsia" w:ascii="仿宋" w:hAnsi="仿宋" w:eastAsia="仿宋" w:cs="宋体Y."/>
          <w:color w:val="000000"/>
          <w:kern w:val="0"/>
          <w:szCs w:val="21"/>
        </w:rPr>
        <w:t>江南农村商业银行</w:t>
      </w:r>
      <w:r>
        <w:rPr>
          <w:rFonts w:hint="eastAsia" w:ascii="仿宋" w:hAnsi="仿宋" w:eastAsia="仿宋"/>
          <w:szCs w:val="21"/>
        </w:rPr>
        <w:t>决定本产品不成立，将在决定本产品不成立后的2个工作日，在官方网站（www.jnbank.com.cn）和各营业网点发布相关信息公告。</w:t>
      </w:r>
    </w:p>
    <w:p>
      <w:pPr>
        <w:rPr>
          <w:rFonts w:ascii="仿宋" w:hAnsi="仿宋" w:eastAsia="仿宋"/>
          <w:szCs w:val="21"/>
        </w:rPr>
      </w:pPr>
      <w:r>
        <w:rPr>
          <w:rFonts w:hint="eastAsia" w:ascii="仿宋" w:hAnsi="仿宋" w:eastAsia="仿宋"/>
          <w:szCs w:val="21"/>
        </w:rPr>
        <w:tab/>
      </w:r>
      <w:r>
        <w:rPr>
          <w:rFonts w:hint="eastAsia" w:ascii="仿宋" w:hAnsi="仿宋" w:eastAsia="仿宋"/>
          <w:szCs w:val="21"/>
        </w:rPr>
        <w:t>3、如出现暂停申购、提前终止等的情况时，江</w:t>
      </w:r>
      <w:r>
        <w:rPr>
          <w:rFonts w:hint="eastAsia" w:ascii="仿宋" w:hAnsi="仿宋" w:eastAsia="仿宋" w:cs="宋体Y."/>
          <w:color w:val="000000"/>
          <w:kern w:val="0"/>
          <w:szCs w:val="21"/>
        </w:rPr>
        <w:t>南农村商业银行</w:t>
      </w:r>
      <w:r>
        <w:rPr>
          <w:rFonts w:hint="eastAsia" w:ascii="仿宋" w:hAnsi="仿宋" w:eastAsia="仿宋"/>
          <w:szCs w:val="21"/>
        </w:rPr>
        <w:t>将提前2个工作日在</w:t>
      </w:r>
      <w:r>
        <w:rPr>
          <w:rFonts w:hint="eastAsia" w:ascii="仿宋" w:hAnsi="仿宋" w:eastAsia="仿宋" w:cs="宋体Y."/>
          <w:color w:val="000000"/>
          <w:kern w:val="0"/>
          <w:szCs w:val="21"/>
        </w:rPr>
        <w:t>江南农村商业银行</w:t>
      </w:r>
      <w:r>
        <w:rPr>
          <w:rFonts w:hint="eastAsia" w:ascii="仿宋" w:hAnsi="仿宋" w:eastAsia="仿宋"/>
          <w:szCs w:val="21"/>
        </w:rPr>
        <w:t>官方网站（www.jnbank.com.cn）和各营业网点发布相关信息公告。</w:t>
      </w:r>
      <w:r>
        <w:rPr>
          <w:rFonts w:hint="eastAsia" w:ascii="仿宋" w:hAnsi="仿宋" w:eastAsia="仿宋"/>
          <w:szCs w:val="21"/>
        </w:rPr>
        <w:tab/>
      </w:r>
    </w:p>
    <w:p>
      <w:pPr>
        <w:rPr>
          <w:rFonts w:ascii="仿宋" w:hAnsi="仿宋" w:eastAsia="仿宋"/>
          <w:szCs w:val="21"/>
        </w:rPr>
      </w:pPr>
      <w:r>
        <w:rPr>
          <w:rFonts w:hint="eastAsia" w:ascii="仿宋" w:hAnsi="仿宋" w:eastAsia="仿宋"/>
          <w:szCs w:val="21"/>
        </w:rPr>
        <w:tab/>
      </w:r>
      <w:r>
        <w:rPr>
          <w:rFonts w:hint="eastAsia" w:ascii="仿宋" w:hAnsi="仿宋" w:eastAsia="仿宋"/>
          <w:szCs w:val="21"/>
        </w:rPr>
        <w:t>4、若发生</w:t>
      </w:r>
      <w:r>
        <w:rPr>
          <w:rFonts w:hint="eastAsia" w:ascii="仿宋" w:hAnsi="仿宋" w:eastAsia="仿宋" w:cs="宋体Y."/>
          <w:color w:val="000000"/>
          <w:kern w:val="0"/>
          <w:szCs w:val="21"/>
        </w:rPr>
        <w:t>江南农村商业银行</w:t>
      </w:r>
      <w:r>
        <w:rPr>
          <w:rFonts w:hint="eastAsia" w:ascii="仿宋" w:hAnsi="仿宋" w:eastAsia="仿宋"/>
          <w:szCs w:val="21"/>
        </w:rPr>
        <w:t>获知并经</w:t>
      </w:r>
      <w:r>
        <w:rPr>
          <w:rFonts w:hint="eastAsia" w:ascii="仿宋" w:hAnsi="仿宋" w:eastAsia="仿宋" w:cs="宋体Y."/>
          <w:color w:val="000000"/>
          <w:kern w:val="0"/>
          <w:szCs w:val="21"/>
        </w:rPr>
        <w:t>江南农村商业银行</w:t>
      </w:r>
      <w:r>
        <w:rPr>
          <w:rFonts w:hint="eastAsia" w:ascii="仿宋" w:hAnsi="仿宋" w:eastAsia="仿宋"/>
          <w:szCs w:val="21"/>
        </w:rPr>
        <w:t>合理判断认为对理财产品本金及收益有重大影响的事件，</w:t>
      </w:r>
      <w:r>
        <w:rPr>
          <w:rFonts w:hint="eastAsia" w:ascii="仿宋" w:hAnsi="仿宋" w:eastAsia="仿宋" w:cs="宋体Y."/>
          <w:color w:val="000000"/>
          <w:kern w:val="0"/>
          <w:szCs w:val="21"/>
        </w:rPr>
        <w:t>江南农村商业银行</w:t>
      </w:r>
      <w:r>
        <w:rPr>
          <w:rFonts w:hint="eastAsia" w:ascii="仿宋" w:hAnsi="仿宋" w:eastAsia="仿宋"/>
          <w:szCs w:val="21"/>
        </w:rPr>
        <w:t>将在官方网站（www.jnbank.com.cn）和各营业网点发布相关信息公告。</w:t>
      </w:r>
    </w:p>
    <w:p>
      <w:pPr>
        <w:rPr>
          <w:rFonts w:ascii="仿宋" w:hAnsi="仿宋" w:eastAsia="仿宋"/>
          <w:szCs w:val="21"/>
        </w:rPr>
      </w:pPr>
      <w:r>
        <w:rPr>
          <w:rFonts w:hint="eastAsia" w:ascii="仿宋" w:hAnsi="仿宋" w:eastAsia="仿宋"/>
          <w:szCs w:val="21"/>
        </w:rPr>
        <w:tab/>
      </w:r>
      <w:r>
        <w:rPr>
          <w:rFonts w:hint="eastAsia" w:ascii="仿宋" w:hAnsi="仿宋" w:eastAsia="仿宋"/>
          <w:szCs w:val="21"/>
        </w:rPr>
        <w:t>5、在产品存续期内，江南农村商业银行对收费项目、收费条件、收费标准和收费方式进行调整的，将提前2个工作日以在江南农村商业银行官方网站（www.jnbank.com.cn）上公告的方式通知投资者。</w:t>
      </w:r>
    </w:p>
    <w:p>
      <w:pPr>
        <w:rPr>
          <w:rFonts w:ascii="仿宋" w:hAnsi="仿宋" w:eastAsia="仿宋"/>
          <w:szCs w:val="21"/>
        </w:rPr>
      </w:pPr>
      <w:r>
        <w:rPr>
          <w:rFonts w:hint="eastAsia" w:ascii="仿宋" w:hAnsi="仿宋" w:eastAsia="仿宋"/>
          <w:szCs w:val="21"/>
        </w:rPr>
        <w:tab/>
      </w:r>
      <w:r>
        <w:rPr>
          <w:rFonts w:hint="eastAsia" w:ascii="仿宋" w:hAnsi="仿宋" w:eastAsia="仿宋"/>
          <w:szCs w:val="21"/>
        </w:rPr>
        <w:t>6、在本产品存续期内，如因国家法律法规、监管规定发生变化，或是出于维持本产品正常运营的需要，在不损害投资者利益的前提下，</w:t>
      </w:r>
      <w:r>
        <w:rPr>
          <w:rFonts w:hint="eastAsia" w:ascii="仿宋" w:hAnsi="仿宋" w:eastAsia="仿宋" w:cs="宋体Y."/>
          <w:color w:val="000000"/>
          <w:kern w:val="0"/>
          <w:szCs w:val="21"/>
        </w:rPr>
        <w:t>江南农村商业银行</w:t>
      </w:r>
      <w:r>
        <w:rPr>
          <w:rFonts w:hint="eastAsia" w:ascii="仿宋" w:hAnsi="仿宋" w:eastAsia="仿宋"/>
          <w:szCs w:val="21"/>
        </w:rPr>
        <w:t>有权单方对本产品说明书进行修订。</w:t>
      </w:r>
      <w:r>
        <w:rPr>
          <w:rFonts w:hint="eastAsia" w:ascii="仿宋" w:hAnsi="仿宋" w:eastAsia="仿宋" w:cs="宋体Y."/>
          <w:color w:val="000000"/>
          <w:kern w:val="0"/>
          <w:szCs w:val="21"/>
        </w:rPr>
        <w:t>江南农村商业银行</w:t>
      </w:r>
      <w:r>
        <w:rPr>
          <w:rFonts w:hint="eastAsia" w:ascii="仿宋" w:hAnsi="仿宋" w:eastAsia="仿宋"/>
          <w:szCs w:val="21"/>
        </w:rPr>
        <w:t>决定对产品说明书进行修订的，将提前2个工作日以在官方网站（www.jnbank.com.cn）上公告的方式通知投资者。</w:t>
      </w:r>
    </w:p>
    <w:p>
      <w:pPr>
        <w:rPr>
          <w:rFonts w:ascii="仿宋" w:hAnsi="仿宋" w:eastAsia="仿宋"/>
          <w:b/>
          <w:szCs w:val="21"/>
        </w:rPr>
      </w:pPr>
      <w:r>
        <w:rPr>
          <w:rFonts w:hint="eastAsia" w:ascii="仿宋" w:hAnsi="仿宋" w:eastAsia="仿宋"/>
          <w:b/>
          <w:szCs w:val="21"/>
        </w:rPr>
        <w:t>十三、相关事项说明</w:t>
      </w:r>
    </w:p>
    <w:p>
      <w:pPr>
        <w:ind w:firstLine="420"/>
        <w:rPr>
          <w:rFonts w:ascii="仿宋" w:hAnsi="仿宋" w:eastAsia="仿宋"/>
          <w:szCs w:val="21"/>
        </w:rPr>
        <w:sectPr>
          <w:footerReference r:id="rId3" w:type="default"/>
          <w:pgSz w:w="11906" w:h="16838"/>
          <w:pgMar w:top="1440" w:right="1800" w:bottom="1440" w:left="1800" w:header="851" w:footer="992" w:gutter="0"/>
          <w:pgNumType w:start="1"/>
          <w:cols w:space="720" w:num="1"/>
          <w:docGrid w:type="lines" w:linePitch="312" w:charSpace="0"/>
        </w:sectPr>
      </w:pPr>
      <w:r>
        <w:rPr>
          <w:rFonts w:hint="eastAsia" w:ascii="仿宋" w:hAnsi="仿宋" w:eastAsia="仿宋"/>
          <w:szCs w:val="21"/>
        </w:rPr>
        <w:t>如投资者对本产品有任何异议或意见，请联系</w:t>
      </w:r>
      <w:r>
        <w:rPr>
          <w:rFonts w:hint="eastAsia" w:ascii="仿宋" w:hAnsi="仿宋" w:eastAsia="仿宋" w:cs="宋体Y."/>
          <w:kern w:val="0"/>
          <w:szCs w:val="21"/>
        </w:rPr>
        <w:t>江南农村商业银行</w:t>
      </w:r>
      <w:r>
        <w:rPr>
          <w:rFonts w:hint="eastAsia" w:ascii="仿宋" w:hAnsi="仿宋" w:eastAsia="仿宋"/>
          <w:szCs w:val="21"/>
        </w:rPr>
        <w:t>的大堂经理或反馈至各销售网点，也可致电</w:t>
      </w:r>
      <w:r>
        <w:rPr>
          <w:rFonts w:hint="eastAsia" w:ascii="仿宋" w:hAnsi="仿宋" w:eastAsia="仿宋" w:cs="宋体Y."/>
          <w:kern w:val="0"/>
          <w:szCs w:val="21"/>
        </w:rPr>
        <w:t>江南农村商业银行</w:t>
      </w:r>
      <w:r>
        <w:rPr>
          <w:rFonts w:hint="eastAsia" w:ascii="仿宋" w:hAnsi="仿宋" w:eastAsia="仿宋"/>
          <w:szCs w:val="21"/>
        </w:rPr>
        <w:t>全国统一客户服务热线（0519-96005）。</w:t>
      </w:r>
    </w:p>
    <w:p>
      <w:pPr>
        <w:rPr>
          <w:rFonts w:ascii="仿宋" w:hAnsi="仿宋" w:eastAsia="仿宋"/>
          <w:szCs w:val="21"/>
        </w:rPr>
      </w:pPr>
    </w:p>
    <w:sectPr>
      <w:footerReference r:id="rId4" w:type="default"/>
      <w:type w:val="continuous"/>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ﾋﾎﾌ蚰ﾅﾝ..">
    <w:altName w:val="MS Mincho"/>
    <w:panose1 w:val="00000000000000000000"/>
    <w:charset w:val="80"/>
    <w:family w:val="roman"/>
    <w:pitch w:val="default"/>
    <w:sig w:usb0="00000000" w:usb1="00000000" w:usb2="00000010" w:usb3="00000000" w:csb0="00020000" w:csb1="00000000"/>
  </w:font>
  <w:font w:name="宋体Y.">
    <w:altName w:val="宋体"/>
    <w:panose1 w:val="00000000000000000000"/>
    <w:charset w:val="86"/>
    <w:family w:val="roma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fldChar w:fldCharType="begin"/>
    </w:r>
    <w:r>
      <w:instrText xml:space="preserve">PAGE   \* MERGEFORMAT</w:instrText>
    </w:r>
    <w:r>
      <w:fldChar w:fldCharType="separate"/>
    </w:r>
    <w:r>
      <w:rPr>
        <w:lang w:val="zh-CN"/>
      </w:rPr>
      <w:t>3</w:t>
    </w:r>
    <w:r>
      <w:fldChar w:fldCharType="end"/>
    </w:r>
  </w:p>
  <w:p>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fldChar w:fldCharType="begin"/>
    </w:r>
    <w:r>
      <w:instrText xml:space="preserve">PAGE   \* MERGEFORMAT</w:instrText>
    </w:r>
    <w:r>
      <w:fldChar w:fldCharType="separate"/>
    </w:r>
    <w:r>
      <w:rPr>
        <w:lang w:val="zh-CN"/>
      </w:rPr>
      <w:t>1</w:t>
    </w:r>
    <w:r>
      <w:fldChar w:fldCharType="end"/>
    </w:r>
  </w:p>
  <w:p>
    <w:pPr>
      <w:pStyle w:val="1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BC0C8E"/>
    <w:multiLevelType w:val="multilevel"/>
    <w:tmpl w:val="1CBC0C8E"/>
    <w:lvl w:ilvl="0" w:tentative="0">
      <w:start w:val="1"/>
      <w:numFmt w:val="chineseCountingThousand"/>
      <w:pStyle w:val="2"/>
      <w:suff w:val="space"/>
      <w:lvlText w:val="第%1章"/>
      <w:lvlJc w:val="left"/>
      <w:pPr>
        <w:ind w:left="170" w:hanging="170"/>
      </w:pPr>
      <w:rPr>
        <w:rFonts w:hint="eastAsia" w:ascii="宋体" w:hAnsi="宋体" w:eastAsia="宋体"/>
        <w:b/>
        <w:i w:val="0"/>
        <w:caps w:val="0"/>
        <w:strike w:val="0"/>
        <w:dstrike w:val="0"/>
        <w:snapToGrid w:val="0"/>
        <w:vanish w:val="0"/>
        <w:color w:val="auto"/>
        <w:spacing w:val="0"/>
        <w:w w:val="100"/>
        <w:kern w:val="0"/>
        <w:position w:val="0"/>
        <w:sz w:val="28"/>
        <w:szCs w:val="28"/>
        <w:u w:val="none"/>
        <w:vertAlign w:val="baseline"/>
      </w:rPr>
    </w:lvl>
    <w:lvl w:ilvl="1" w:tentative="0">
      <w:start w:val="1"/>
      <w:numFmt w:val="none"/>
      <w:pStyle w:val="3"/>
      <w:suff w:val="nothing"/>
      <w:lvlText w:val=""/>
      <w:lvlJc w:val="left"/>
      <w:pPr>
        <w:ind w:left="0" w:firstLine="0"/>
      </w:pPr>
      <w:rPr>
        <w:rFonts w:hint="eastAsia"/>
      </w:rPr>
    </w:lvl>
    <w:lvl w:ilvl="2" w:tentative="0">
      <w:start w:val="1"/>
      <w:numFmt w:val="none"/>
      <w:pStyle w:val="4"/>
      <w:suff w:val="nothing"/>
      <w:lvlText w:val=""/>
      <w:lvlJc w:val="left"/>
      <w:pPr>
        <w:ind w:left="0" w:firstLine="0"/>
      </w:pPr>
      <w:rPr>
        <w:rFonts w:hint="eastAsia"/>
      </w:rPr>
    </w:lvl>
    <w:lvl w:ilvl="3" w:tentative="0">
      <w:start w:val="1"/>
      <w:numFmt w:val="none"/>
      <w:pStyle w:val="5"/>
      <w:suff w:val="nothing"/>
      <w:lvlText w:val=""/>
      <w:lvlJc w:val="left"/>
      <w:pPr>
        <w:ind w:left="0" w:firstLine="0"/>
      </w:pPr>
      <w:rPr>
        <w:rFonts w:hint="eastAsia"/>
      </w:rPr>
    </w:lvl>
    <w:lvl w:ilvl="4" w:tentative="0">
      <w:start w:val="1"/>
      <w:numFmt w:val="none"/>
      <w:pStyle w:val="6"/>
      <w:suff w:val="nothing"/>
      <w:lvlText w:val=""/>
      <w:lvlJc w:val="left"/>
      <w:pPr>
        <w:ind w:left="0" w:firstLine="0"/>
      </w:pPr>
      <w:rPr>
        <w:rFonts w:hint="eastAsia"/>
      </w:rPr>
    </w:lvl>
    <w:lvl w:ilvl="5" w:tentative="0">
      <w:start w:val="1"/>
      <w:numFmt w:val="none"/>
      <w:pStyle w:val="7"/>
      <w:suff w:val="nothing"/>
      <w:lvlText w:val=""/>
      <w:lvlJc w:val="left"/>
      <w:pPr>
        <w:ind w:left="0" w:firstLine="0"/>
      </w:pPr>
      <w:rPr>
        <w:rFonts w:hint="eastAsia"/>
      </w:rPr>
    </w:lvl>
    <w:lvl w:ilvl="6" w:tentative="0">
      <w:start w:val="1"/>
      <w:numFmt w:val="none"/>
      <w:pStyle w:val="8"/>
      <w:suff w:val="nothing"/>
      <w:lvlText w:val=""/>
      <w:lvlJc w:val="left"/>
      <w:pPr>
        <w:ind w:left="0" w:firstLine="0"/>
      </w:pPr>
      <w:rPr>
        <w:rFonts w:hint="eastAsia"/>
      </w:rPr>
    </w:lvl>
    <w:lvl w:ilvl="7" w:tentative="0">
      <w:start w:val="1"/>
      <w:numFmt w:val="none"/>
      <w:pStyle w:val="9"/>
      <w:suff w:val="nothing"/>
      <w:lvlText w:val=""/>
      <w:lvlJc w:val="left"/>
      <w:pPr>
        <w:ind w:left="0" w:firstLine="0"/>
      </w:pPr>
      <w:rPr>
        <w:rFonts w:hint="eastAsia"/>
      </w:rPr>
    </w:lvl>
    <w:lvl w:ilvl="8" w:tentative="0">
      <w:start w:val="1"/>
      <w:numFmt w:val="none"/>
      <w:pStyle w:val="10"/>
      <w:suff w:val="nothing"/>
      <w:lvlText w:val=""/>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048A"/>
    <w:rsid w:val="000006A2"/>
    <w:rsid w:val="00001439"/>
    <w:rsid w:val="00005352"/>
    <w:rsid w:val="00007CC7"/>
    <w:rsid w:val="00007F2F"/>
    <w:rsid w:val="000104F3"/>
    <w:rsid w:val="00010572"/>
    <w:rsid w:val="00011A96"/>
    <w:rsid w:val="00011EF9"/>
    <w:rsid w:val="00014103"/>
    <w:rsid w:val="00014309"/>
    <w:rsid w:val="000147BF"/>
    <w:rsid w:val="000154EC"/>
    <w:rsid w:val="00017BB4"/>
    <w:rsid w:val="00017CCE"/>
    <w:rsid w:val="00020AA6"/>
    <w:rsid w:val="00023246"/>
    <w:rsid w:val="00025FD1"/>
    <w:rsid w:val="00026DB5"/>
    <w:rsid w:val="00027027"/>
    <w:rsid w:val="000279B6"/>
    <w:rsid w:val="00027AA6"/>
    <w:rsid w:val="00031D86"/>
    <w:rsid w:val="000328DD"/>
    <w:rsid w:val="0003653F"/>
    <w:rsid w:val="0003712B"/>
    <w:rsid w:val="0003767C"/>
    <w:rsid w:val="00040811"/>
    <w:rsid w:val="00040FA4"/>
    <w:rsid w:val="00041298"/>
    <w:rsid w:val="00041434"/>
    <w:rsid w:val="0004162A"/>
    <w:rsid w:val="00042972"/>
    <w:rsid w:val="00042AE3"/>
    <w:rsid w:val="0004307A"/>
    <w:rsid w:val="000442C8"/>
    <w:rsid w:val="00046005"/>
    <w:rsid w:val="000469AF"/>
    <w:rsid w:val="00047675"/>
    <w:rsid w:val="00050A42"/>
    <w:rsid w:val="00051F38"/>
    <w:rsid w:val="00052570"/>
    <w:rsid w:val="00052BD6"/>
    <w:rsid w:val="00054C67"/>
    <w:rsid w:val="00055AFE"/>
    <w:rsid w:val="00056439"/>
    <w:rsid w:val="000579AA"/>
    <w:rsid w:val="00060ED2"/>
    <w:rsid w:val="00061967"/>
    <w:rsid w:val="00062E30"/>
    <w:rsid w:val="00063663"/>
    <w:rsid w:val="00064F70"/>
    <w:rsid w:val="00065957"/>
    <w:rsid w:val="00065F2B"/>
    <w:rsid w:val="00067831"/>
    <w:rsid w:val="00067E64"/>
    <w:rsid w:val="00071842"/>
    <w:rsid w:val="00071F39"/>
    <w:rsid w:val="00072A42"/>
    <w:rsid w:val="00072E4C"/>
    <w:rsid w:val="000741DE"/>
    <w:rsid w:val="00077D1D"/>
    <w:rsid w:val="00080F7F"/>
    <w:rsid w:val="000814EE"/>
    <w:rsid w:val="000845B7"/>
    <w:rsid w:val="00085C62"/>
    <w:rsid w:val="00085E75"/>
    <w:rsid w:val="00090091"/>
    <w:rsid w:val="000906B8"/>
    <w:rsid w:val="000912D8"/>
    <w:rsid w:val="000935FC"/>
    <w:rsid w:val="00093A56"/>
    <w:rsid w:val="00094E71"/>
    <w:rsid w:val="00095550"/>
    <w:rsid w:val="00096B3C"/>
    <w:rsid w:val="000975D2"/>
    <w:rsid w:val="00097F71"/>
    <w:rsid w:val="000B279D"/>
    <w:rsid w:val="000B299A"/>
    <w:rsid w:val="000B2F8C"/>
    <w:rsid w:val="000B3E38"/>
    <w:rsid w:val="000B57FF"/>
    <w:rsid w:val="000B5B15"/>
    <w:rsid w:val="000C0E50"/>
    <w:rsid w:val="000C2979"/>
    <w:rsid w:val="000C50F0"/>
    <w:rsid w:val="000C67A6"/>
    <w:rsid w:val="000C682A"/>
    <w:rsid w:val="000C76B3"/>
    <w:rsid w:val="000D0283"/>
    <w:rsid w:val="000D0921"/>
    <w:rsid w:val="000D1613"/>
    <w:rsid w:val="000D233B"/>
    <w:rsid w:val="000D2C00"/>
    <w:rsid w:val="000D4389"/>
    <w:rsid w:val="000D533A"/>
    <w:rsid w:val="000E205E"/>
    <w:rsid w:val="000E2BA4"/>
    <w:rsid w:val="000E3A3C"/>
    <w:rsid w:val="000E4770"/>
    <w:rsid w:val="000E6454"/>
    <w:rsid w:val="000E6DF8"/>
    <w:rsid w:val="000E73AD"/>
    <w:rsid w:val="000E79B0"/>
    <w:rsid w:val="000F055E"/>
    <w:rsid w:val="000F4DB2"/>
    <w:rsid w:val="00100492"/>
    <w:rsid w:val="00101C15"/>
    <w:rsid w:val="00103615"/>
    <w:rsid w:val="0010406B"/>
    <w:rsid w:val="001041AE"/>
    <w:rsid w:val="0010501F"/>
    <w:rsid w:val="00105320"/>
    <w:rsid w:val="001053DC"/>
    <w:rsid w:val="00110AA4"/>
    <w:rsid w:val="001114B6"/>
    <w:rsid w:val="00111826"/>
    <w:rsid w:val="001139D4"/>
    <w:rsid w:val="001139FE"/>
    <w:rsid w:val="00113AAA"/>
    <w:rsid w:val="001159C4"/>
    <w:rsid w:val="001175B0"/>
    <w:rsid w:val="00117BED"/>
    <w:rsid w:val="0012324C"/>
    <w:rsid w:val="00123840"/>
    <w:rsid w:val="00124896"/>
    <w:rsid w:val="001263FE"/>
    <w:rsid w:val="001274F6"/>
    <w:rsid w:val="00127CDD"/>
    <w:rsid w:val="00127D94"/>
    <w:rsid w:val="00127F4D"/>
    <w:rsid w:val="00131470"/>
    <w:rsid w:val="00132307"/>
    <w:rsid w:val="001325A3"/>
    <w:rsid w:val="0013548B"/>
    <w:rsid w:val="001364FD"/>
    <w:rsid w:val="0013665C"/>
    <w:rsid w:val="0013775A"/>
    <w:rsid w:val="00137EF3"/>
    <w:rsid w:val="0014253F"/>
    <w:rsid w:val="00144FAA"/>
    <w:rsid w:val="00145045"/>
    <w:rsid w:val="001508E0"/>
    <w:rsid w:val="00151725"/>
    <w:rsid w:val="0015175C"/>
    <w:rsid w:val="00152898"/>
    <w:rsid w:val="00152C2F"/>
    <w:rsid w:val="00152EBC"/>
    <w:rsid w:val="001541EE"/>
    <w:rsid w:val="00154585"/>
    <w:rsid w:val="00154E1D"/>
    <w:rsid w:val="0015675C"/>
    <w:rsid w:val="0016279F"/>
    <w:rsid w:val="0016299A"/>
    <w:rsid w:val="0016493A"/>
    <w:rsid w:val="00165708"/>
    <w:rsid w:val="0016577A"/>
    <w:rsid w:val="00165E3D"/>
    <w:rsid w:val="00166E4B"/>
    <w:rsid w:val="001677E8"/>
    <w:rsid w:val="00167F4E"/>
    <w:rsid w:val="00170E87"/>
    <w:rsid w:val="00171144"/>
    <w:rsid w:val="00172A27"/>
    <w:rsid w:val="00173B1F"/>
    <w:rsid w:val="001749B7"/>
    <w:rsid w:val="00176C5C"/>
    <w:rsid w:val="001772B7"/>
    <w:rsid w:val="00177D50"/>
    <w:rsid w:val="001802CE"/>
    <w:rsid w:val="001812CA"/>
    <w:rsid w:val="00181DE4"/>
    <w:rsid w:val="00182745"/>
    <w:rsid w:val="00182C76"/>
    <w:rsid w:val="00183431"/>
    <w:rsid w:val="0018395F"/>
    <w:rsid w:val="00183C2A"/>
    <w:rsid w:val="00183F6C"/>
    <w:rsid w:val="001847D2"/>
    <w:rsid w:val="00184C9F"/>
    <w:rsid w:val="001856B8"/>
    <w:rsid w:val="001861BF"/>
    <w:rsid w:val="00186383"/>
    <w:rsid w:val="00186520"/>
    <w:rsid w:val="001925CA"/>
    <w:rsid w:val="00193FBE"/>
    <w:rsid w:val="001959DB"/>
    <w:rsid w:val="00197AB4"/>
    <w:rsid w:val="001A4059"/>
    <w:rsid w:val="001A4BA2"/>
    <w:rsid w:val="001A564A"/>
    <w:rsid w:val="001A5D95"/>
    <w:rsid w:val="001B1601"/>
    <w:rsid w:val="001B1ACA"/>
    <w:rsid w:val="001B4DF1"/>
    <w:rsid w:val="001B7594"/>
    <w:rsid w:val="001B762B"/>
    <w:rsid w:val="001C0BCD"/>
    <w:rsid w:val="001C0D18"/>
    <w:rsid w:val="001C4DC4"/>
    <w:rsid w:val="001C530F"/>
    <w:rsid w:val="001C6FE4"/>
    <w:rsid w:val="001D039F"/>
    <w:rsid w:val="001D0A23"/>
    <w:rsid w:val="001D1311"/>
    <w:rsid w:val="001D19F9"/>
    <w:rsid w:val="001D285D"/>
    <w:rsid w:val="001D367D"/>
    <w:rsid w:val="001D4594"/>
    <w:rsid w:val="001D5052"/>
    <w:rsid w:val="001D509C"/>
    <w:rsid w:val="001D5328"/>
    <w:rsid w:val="001D55FE"/>
    <w:rsid w:val="001E1558"/>
    <w:rsid w:val="001E20FE"/>
    <w:rsid w:val="001E3532"/>
    <w:rsid w:val="001E378D"/>
    <w:rsid w:val="001E5D98"/>
    <w:rsid w:val="001F2A1A"/>
    <w:rsid w:val="001F3B1D"/>
    <w:rsid w:val="001F42B5"/>
    <w:rsid w:val="001F4ABA"/>
    <w:rsid w:val="001F52F4"/>
    <w:rsid w:val="001F7767"/>
    <w:rsid w:val="00202D34"/>
    <w:rsid w:val="00202F49"/>
    <w:rsid w:val="002032DB"/>
    <w:rsid w:val="0020419E"/>
    <w:rsid w:val="00206203"/>
    <w:rsid w:val="0020679E"/>
    <w:rsid w:val="00210F75"/>
    <w:rsid w:val="00212B41"/>
    <w:rsid w:val="00214507"/>
    <w:rsid w:val="002162EE"/>
    <w:rsid w:val="002174C2"/>
    <w:rsid w:val="00221F73"/>
    <w:rsid w:val="00222326"/>
    <w:rsid w:val="002371B0"/>
    <w:rsid w:val="002377AC"/>
    <w:rsid w:val="00237C1E"/>
    <w:rsid w:val="00240B84"/>
    <w:rsid w:val="0024118B"/>
    <w:rsid w:val="002426A8"/>
    <w:rsid w:val="002442DE"/>
    <w:rsid w:val="00247356"/>
    <w:rsid w:val="002474FC"/>
    <w:rsid w:val="00250370"/>
    <w:rsid w:val="00251C0E"/>
    <w:rsid w:val="00252543"/>
    <w:rsid w:val="002547C3"/>
    <w:rsid w:val="00257BDD"/>
    <w:rsid w:val="00260C83"/>
    <w:rsid w:val="00260E8A"/>
    <w:rsid w:val="002613E4"/>
    <w:rsid w:val="0026178D"/>
    <w:rsid w:val="00261946"/>
    <w:rsid w:val="00267135"/>
    <w:rsid w:val="00271AF4"/>
    <w:rsid w:val="00271CA5"/>
    <w:rsid w:val="002726C5"/>
    <w:rsid w:val="00273B59"/>
    <w:rsid w:val="00274903"/>
    <w:rsid w:val="00274A43"/>
    <w:rsid w:val="002763CB"/>
    <w:rsid w:val="00276839"/>
    <w:rsid w:val="002826CF"/>
    <w:rsid w:val="00283FCD"/>
    <w:rsid w:val="00284F9F"/>
    <w:rsid w:val="002911AA"/>
    <w:rsid w:val="00292B10"/>
    <w:rsid w:val="0029358E"/>
    <w:rsid w:val="00294F41"/>
    <w:rsid w:val="00295549"/>
    <w:rsid w:val="00295AD2"/>
    <w:rsid w:val="0029631D"/>
    <w:rsid w:val="00297569"/>
    <w:rsid w:val="002A2A29"/>
    <w:rsid w:val="002A2A76"/>
    <w:rsid w:val="002A4BF4"/>
    <w:rsid w:val="002A5253"/>
    <w:rsid w:val="002A5E97"/>
    <w:rsid w:val="002A602D"/>
    <w:rsid w:val="002B45C9"/>
    <w:rsid w:val="002B4A3D"/>
    <w:rsid w:val="002B661C"/>
    <w:rsid w:val="002B79FC"/>
    <w:rsid w:val="002C11D6"/>
    <w:rsid w:val="002C18B1"/>
    <w:rsid w:val="002C20DD"/>
    <w:rsid w:val="002C28D6"/>
    <w:rsid w:val="002C6917"/>
    <w:rsid w:val="002C7C4C"/>
    <w:rsid w:val="002D0FB6"/>
    <w:rsid w:val="002D2178"/>
    <w:rsid w:val="002D2D22"/>
    <w:rsid w:val="002D3A20"/>
    <w:rsid w:val="002D4EA0"/>
    <w:rsid w:val="002D4FAE"/>
    <w:rsid w:val="002D5FBA"/>
    <w:rsid w:val="002D63FA"/>
    <w:rsid w:val="002E058D"/>
    <w:rsid w:val="002E08C1"/>
    <w:rsid w:val="002E11E1"/>
    <w:rsid w:val="002E222D"/>
    <w:rsid w:val="002E2949"/>
    <w:rsid w:val="002E2F4E"/>
    <w:rsid w:val="002E4C82"/>
    <w:rsid w:val="002E606B"/>
    <w:rsid w:val="002E6979"/>
    <w:rsid w:val="002E6A77"/>
    <w:rsid w:val="002E6E61"/>
    <w:rsid w:val="002E79A9"/>
    <w:rsid w:val="002E79F8"/>
    <w:rsid w:val="002F23E3"/>
    <w:rsid w:val="002F2CAA"/>
    <w:rsid w:val="002F32EE"/>
    <w:rsid w:val="002F5682"/>
    <w:rsid w:val="002F78E3"/>
    <w:rsid w:val="00303BE8"/>
    <w:rsid w:val="00304505"/>
    <w:rsid w:val="0030486A"/>
    <w:rsid w:val="00305AFF"/>
    <w:rsid w:val="003060BF"/>
    <w:rsid w:val="00306F22"/>
    <w:rsid w:val="00307CD1"/>
    <w:rsid w:val="00311D76"/>
    <w:rsid w:val="003121F2"/>
    <w:rsid w:val="0031287E"/>
    <w:rsid w:val="00315E67"/>
    <w:rsid w:val="00316330"/>
    <w:rsid w:val="00316E1F"/>
    <w:rsid w:val="003176A8"/>
    <w:rsid w:val="00322098"/>
    <w:rsid w:val="00322D36"/>
    <w:rsid w:val="003275C2"/>
    <w:rsid w:val="00327675"/>
    <w:rsid w:val="00331D34"/>
    <w:rsid w:val="00332054"/>
    <w:rsid w:val="003332E9"/>
    <w:rsid w:val="00335611"/>
    <w:rsid w:val="00335BEA"/>
    <w:rsid w:val="00336259"/>
    <w:rsid w:val="0033649D"/>
    <w:rsid w:val="003367F7"/>
    <w:rsid w:val="00336CCC"/>
    <w:rsid w:val="00337BCC"/>
    <w:rsid w:val="00340599"/>
    <w:rsid w:val="00342407"/>
    <w:rsid w:val="0034452A"/>
    <w:rsid w:val="0034481F"/>
    <w:rsid w:val="00345D45"/>
    <w:rsid w:val="00346AC6"/>
    <w:rsid w:val="0034794F"/>
    <w:rsid w:val="00351D7C"/>
    <w:rsid w:val="00352D4D"/>
    <w:rsid w:val="00353BE2"/>
    <w:rsid w:val="00356606"/>
    <w:rsid w:val="00356A76"/>
    <w:rsid w:val="00360023"/>
    <w:rsid w:val="003604A1"/>
    <w:rsid w:val="00360C7F"/>
    <w:rsid w:val="00364ACF"/>
    <w:rsid w:val="0036605A"/>
    <w:rsid w:val="00366A4B"/>
    <w:rsid w:val="0037321A"/>
    <w:rsid w:val="00373E02"/>
    <w:rsid w:val="00374B54"/>
    <w:rsid w:val="00375505"/>
    <w:rsid w:val="003806BB"/>
    <w:rsid w:val="0038111F"/>
    <w:rsid w:val="0038228A"/>
    <w:rsid w:val="00384410"/>
    <w:rsid w:val="00384546"/>
    <w:rsid w:val="003853DC"/>
    <w:rsid w:val="003916A6"/>
    <w:rsid w:val="00392C67"/>
    <w:rsid w:val="00394498"/>
    <w:rsid w:val="00394774"/>
    <w:rsid w:val="00395807"/>
    <w:rsid w:val="00395FB1"/>
    <w:rsid w:val="003A03AD"/>
    <w:rsid w:val="003A1EC2"/>
    <w:rsid w:val="003A2051"/>
    <w:rsid w:val="003A690A"/>
    <w:rsid w:val="003B233F"/>
    <w:rsid w:val="003B2467"/>
    <w:rsid w:val="003B2C6E"/>
    <w:rsid w:val="003B3963"/>
    <w:rsid w:val="003B3C64"/>
    <w:rsid w:val="003B4DE9"/>
    <w:rsid w:val="003B673E"/>
    <w:rsid w:val="003B7357"/>
    <w:rsid w:val="003C0D58"/>
    <w:rsid w:val="003C1987"/>
    <w:rsid w:val="003C3574"/>
    <w:rsid w:val="003C4311"/>
    <w:rsid w:val="003C4D5E"/>
    <w:rsid w:val="003C512D"/>
    <w:rsid w:val="003C5A53"/>
    <w:rsid w:val="003C7D58"/>
    <w:rsid w:val="003D14E7"/>
    <w:rsid w:val="003D1E63"/>
    <w:rsid w:val="003D2030"/>
    <w:rsid w:val="003D46E6"/>
    <w:rsid w:val="003D5431"/>
    <w:rsid w:val="003D58A7"/>
    <w:rsid w:val="003D5D74"/>
    <w:rsid w:val="003D69EF"/>
    <w:rsid w:val="003D7095"/>
    <w:rsid w:val="003E26A3"/>
    <w:rsid w:val="003E2BDD"/>
    <w:rsid w:val="003E3539"/>
    <w:rsid w:val="003E4CD2"/>
    <w:rsid w:val="003E69A2"/>
    <w:rsid w:val="003F05DD"/>
    <w:rsid w:val="003F1E2B"/>
    <w:rsid w:val="003F2F87"/>
    <w:rsid w:val="003F371B"/>
    <w:rsid w:val="003F4B7A"/>
    <w:rsid w:val="003F4C46"/>
    <w:rsid w:val="003F6389"/>
    <w:rsid w:val="004064E7"/>
    <w:rsid w:val="00407A51"/>
    <w:rsid w:val="00411E41"/>
    <w:rsid w:val="004123A9"/>
    <w:rsid w:val="004125DF"/>
    <w:rsid w:val="00412BCA"/>
    <w:rsid w:val="004132D0"/>
    <w:rsid w:val="00414CEB"/>
    <w:rsid w:val="0041790F"/>
    <w:rsid w:val="0042168E"/>
    <w:rsid w:val="004216A1"/>
    <w:rsid w:val="004220EA"/>
    <w:rsid w:val="004260C9"/>
    <w:rsid w:val="00426FE0"/>
    <w:rsid w:val="00431921"/>
    <w:rsid w:val="0043301E"/>
    <w:rsid w:val="00433D45"/>
    <w:rsid w:val="00434AE8"/>
    <w:rsid w:val="0043631A"/>
    <w:rsid w:val="004373D5"/>
    <w:rsid w:val="00440E25"/>
    <w:rsid w:val="00441164"/>
    <w:rsid w:val="004413F6"/>
    <w:rsid w:val="00441565"/>
    <w:rsid w:val="004440F2"/>
    <w:rsid w:val="00445091"/>
    <w:rsid w:val="004455AA"/>
    <w:rsid w:val="004459C1"/>
    <w:rsid w:val="00447D8F"/>
    <w:rsid w:val="00453460"/>
    <w:rsid w:val="00453466"/>
    <w:rsid w:val="004538B3"/>
    <w:rsid w:val="00453CBC"/>
    <w:rsid w:val="00454A56"/>
    <w:rsid w:val="00455507"/>
    <w:rsid w:val="00455BA3"/>
    <w:rsid w:val="00455C30"/>
    <w:rsid w:val="00455CB9"/>
    <w:rsid w:val="00455F11"/>
    <w:rsid w:val="00456254"/>
    <w:rsid w:val="00456856"/>
    <w:rsid w:val="0046078E"/>
    <w:rsid w:val="00461374"/>
    <w:rsid w:val="00461775"/>
    <w:rsid w:val="004625B2"/>
    <w:rsid w:val="0046483D"/>
    <w:rsid w:val="00464B72"/>
    <w:rsid w:val="00467CD0"/>
    <w:rsid w:val="0047119F"/>
    <w:rsid w:val="00473902"/>
    <w:rsid w:val="004766B5"/>
    <w:rsid w:val="004768F1"/>
    <w:rsid w:val="0047773B"/>
    <w:rsid w:val="00477CAB"/>
    <w:rsid w:val="004803AF"/>
    <w:rsid w:val="00480D41"/>
    <w:rsid w:val="0048334C"/>
    <w:rsid w:val="00485B2C"/>
    <w:rsid w:val="00487C8E"/>
    <w:rsid w:val="00490D4F"/>
    <w:rsid w:val="004961E2"/>
    <w:rsid w:val="0049706D"/>
    <w:rsid w:val="004A1B00"/>
    <w:rsid w:val="004A2AA2"/>
    <w:rsid w:val="004A4436"/>
    <w:rsid w:val="004A5F69"/>
    <w:rsid w:val="004B0725"/>
    <w:rsid w:val="004B36DD"/>
    <w:rsid w:val="004B4158"/>
    <w:rsid w:val="004B7E69"/>
    <w:rsid w:val="004C13E5"/>
    <w:rsid w:val="004C2078"/>
    <w:rsid w:val="004C24AC"/>
    <w:rsid w:val="004C43AD"/>
    <w:rsid w:val="004C4847"/>
    <w:rsid w:val="004C58A1"/>
    <w:rsid w:val="004D1FF5"/>
    <w:rsid w:val="004D38A7"/>
    <w:rsid w:val="004D3B34"/>
    <w:rsid w:val="004D6395"/>
    <w:rsid w:val="004D664B"/>
    <w:rsid w:val="004D6A65"/>
    <w:rsid w:val="004E00A7"/>
    <w:rsid w:val="004E6A8C"/>
    <w:rsid w:val="004E73AE"/>
    <w:rsid w:val="004E76CE"/>
    <w:rsid w:val="004F00AF"/>
    <w:rsid w:val="004F1FED"/>
    <w:rsid w:val="004F3973"/>
    <w:rsid w:val="004F3ABB"/>
    <w:rsid w:val="004F453B"/>
    <w:rsid w:val="004F4888"/>
    <w:rsid w:val="004F5735"/>
    <w:rsid w:val="004F6C2E"/>
    <w:rsid w:val="004F6D47"/>
    <w:rsid w:val="00500792"/>
    <w:rsid w:val="00500A43"/>
    <w:rsid w:val="00501CBD"/>
    <w:rsid w:val="00502111"/>
    <w:rsid w:val="0050261F"/>
    <w:rsid w:val="0050587D"/>
    <w:rsid w:val="00506DEE"/>
    <w:rsid w:val="005074F1"/>
    <w:rsid w:val="00507B6A"/>
    <w:rsid w:val="00510393"/>
    <w:rsid w:val="00510B82"/>
    <w:rsid w:val="00512061"/>
    <w:rsid w:val="00512CC5"/>
    <w:rsid w:val="005138EA"/>
    <w:rsid w:val="0051396C"/>
    <w:rsid w:val="0051416D"/>
    <w:rsid w:val="005161B8"/>
    <w:rsid w:val="00517EA6"/>
    <w:rsid w:val="005200DC"/>
    <w:rsid w:val="0052405E"/>
    <w:rsid w:val="00524BF4"/>
    <w:rsid w:val="00525459"/>
    <w:rsid w:val="00530F48"/>
    <w:rsid w:val="0053107C"/>
    <w:rsid w:val="005311E9"/>
    <w:rsid w:val="00534EAB"/>
    <w:rsid w:val="00534FB0"/>
    <w:rsid w:val="00537FF5"/>
    <w:rsid w:val="0054061B"/>
    <w:rsid w:val="00540A9D"/>
    <w:rsid w:val="005434AA"/>
    <w:rsid w:val="00545263"/>
    <w:rsid w:val="00545490"/>
    <w:rsid w:val="005471D1"/>
    <w:rsid w:val="00552AAD"/>
    <w:rsid w:val="00556966"/>
    <w:rsid w:val="00557AE0"/>
    <w:rsid w:val="00561A78"/>
    <w:rsid w:val="00564E36"/>
    <w:rsid w:val="00565228"/>
    <w:rsid w:val="00565284"/>
    <w:rsid w:val="00567F2E"/>
    <w:rsid w:val="00570D3E"/>
    <w:rsid w:val="005712CB"/>
    <w:rsid w:val="00571658"/>
    <w:rsid w:val="005717B0"/>
    <w:rsid w:val="00571AF2"/>
    <w:rsid w:val="00572D8A"/>
    <w:rsid w:val="0057580D"/>
    <w:rsid w:val="00575B9D"/>
    <w:rsid w:val="00580316"/>
    <w:rsid w:val="00580C06"/>
    <w:rsid w:val="00581B66"/>
    <w:rsid w:val="0058418E"/>
    <w:rsid w:val="005841AB"/>
    <w:rsid w:val="0058451F"/>
    <w:rsid w:val="005854E0"/>
    <w:rsid w:val="00585E27"/>
    <w:rsid w:val="005861C2"/>
    <w:rsid w:val="00586BC3"/>
    <w:rsid w:val="0059016B"/>
    <w:rsid w:val="005904D3"/>
    <w:rsid w:val="005917D7"/>
    <w:rsid w:val="00591FA6"/>
    <w:rsid w:val="00592884"/>
    <w:rsid w:val="00592ACA"/>
    <w:rsid w:val="0059412D"/>
    <w:rsid w:val="00594F72"/>
    <w:rsid w:val="00596417"/>
    <w:rsid w:val="00597B4C"/>
    <w:rsid w:val="005A12E1"/>
    <w:rsid w:val="005A31BB"/>
    <w:rsid w:val="005A5A2B"/>
    <w:rsid w:val="005A65CF"/>
    <w:rsid w:val="005A65DF"/>
    <w:rsid w:val="005A6932"/>
    <w:rsid w:val="005A6BFB"/>
    <w:rsid w:val="005B133C"/>
    <w:rsid w:val="005B1732"/>
    <w:rsid w:val="005B2D63"/>
    <w:rsid w:val="005B6384"/>
    <w:rsid w:val="005B65DB"/>
    <w:rsid w:val="005C01A6"/>
    <w:rsid w:val="005C1FA6"/>
    <w:rsid w:val="005C2C1B"/>
    <w:rsid w:val="005C3C37"/>
    <w:rsid w:val="005C42BC"/>
    <w:rsid w:val="005C6937"/>
    <w:rsid w:val="005C7113"/>
    <w:rsid w:val="005D0F5E"/>
    <w:rsid w:val="005D1596"/>
    <w:rsid w:val="005D1C56"/>
    <w:rsid w:val="005D31B7"/>
    <w:rsid w:val="005D42DD"/>
    <w:rsid w:val="005D4EAA"/>
    <w:rsid w:val="005D57C8"/>
    <w:rsid w:val="005D706A"/>
    <w:rsid w:val="005D7397"/>
    <w:rsid w:val="005D7E90"/>
    <w:rsid w:val="005E264F"/>
    <w:rsid w:val="005E2786"/>
    <w:rsid w:val="005E48AB"/>
    <w:rsid w:val="005E4F7D"/>
    <w:rsid w:val="005E60C3"/>
    <w:rsid w:val="005E695D"/>
    <w:rsid w:val="005F18BD"/>
    <w:rsid w:val="005F1CF9"/>
    <w:rsid w:val="005F3A18"/>
    <w:rsid w:val="005F439F"/>
    <w:rsid w:val="005F4547"/>
    <w:rsid w:val="005F5CF9"/>
    <w:rsid w:val="005F6031"/>
    <w:rsid w:val="00601B23"/>
    <w:rsid w:val="00601F55"/>
    <w:rsid w:val="006041DA"/>
    <w:rsid w:val="006047D1"/>
    <w:rsid w:val="006056D0"/>
    <w:rsid w:val="0060727E"/>
    <w:rsid w:val="00610E39"/>
    <w:rsid w:val="00613085"/>
    <w:rsid w:val="00613651"/>
    <w:rsid w:val="00613FF0"/>
    <w:rsid w:val="00615912"/>
    <w:rsid w:val="00617D18"/>
    <w:rsid w:val="00621BA5"/>
    <w:rsid w:val="0062254E"/>
    <w:rsid w:val="00622665"/>
    <w:rsid w:val="006237E9"/>
    <w:rsid w:val="006241C2"/>
    <w:rsid w:val="006255B0"/>
    <w:rsid w:val="00625931"/>
    <w:rsid w:val="00626284"/>
    <w:rsid w:val="006278B6"/>
    <w:rsid w:val="006305F4"/>
    <w:rsid w:val="00630E1F"/>
    <w:rsid w:val="00631485"/>
    <w:rsid w:val="0063339C"/>
    <w:rsid w:val="00633CCC"/>
    <w:rsid w:val="00635BE6"/>
    <w:rsid w:val="00637123"/>
    <w:rsid w:val="006376CE"/>
    <w:rsid w:val="0063780C"/>
    <w:rsid w:val="00637E63"/>
    <w:rsid w:val="00637FB7"/>
    <w:rsid w:val="00641B21"/>
    <w:rsid w:val="006441F1"/>
    <w:rsid w:val="006447E6"/>
    <w:rsid w:val="006453F4"/>
    <w:rsid w:val="00645A69"/>
    <w:rsid w:val="00646C0E"/>
    <w:rsid w:val="00646DD1"/>
    <w:rsid w:val="006507CF"/>
    <w:rsid w:val="00651862"/>
    <w:rsid w:val="00652E17"/>
    <w:rsid w:val="0065422E"/>
    <w:rsid w:val="00656141"/>
    <w:rsid w:val="00657563"/>
    <w:rsid w:val="0066138B"/>
    <w:rsid w:val="00661AD2"/>
    <w:rsid w:val="00662360"/>
    <w:rsid w:val="00662A47"/>
    <w:rsid w:val="00662F09"/>
    <w:rsid w:val="00663B64"/>
    <w:rsid w:val="00665946"/>
    <w:rsid w:val="00667EC3"/>
    <w:rsid w:val="00670E20"/>
    <w:rsid w:val="00672A5B"/>
    <w:rsid w:val="00672C7A"/>
    <w:rsid w:val="006734DF"/>
    <w:rsid w:val="00676BEB"/>
    <w:rsid w:val="006772D8"/>
    <w:rsid w:val="00680D3A"/>
    <w:rsid w:val="00683DEB"/>
    <w:rsid w:val="0068406D"/>
    <w:rsid w:val="00690DE9"/>
    <w:rsid w:val="0069132D"/>
    <w:rsid w:val="006928EA"/>
    <w:rsid w:val="00692B9D"/>
    <w:rsid w:val="00694E84"/>
    <w:rsid w:val="006962E6"/>
    <w:rsid w:val="006965EC"/>
    <w:rsid w:val="00697FEF"/>
    <w:rsid w:val="006A1EC3"/>
    <w:rsid w:val="006A31EF"/>
    <w:rsid w:val="006A3713"/>
    <w:rsid w:val="006A523F"/>
    <w:rsid w:val="006A72BB"/>
    <w:rsid w:val="006B05A9"/>
    <w:rsid w:val="006B390D"/>
    <w:rsid w:val="006B62E7"/>
    <w:rsid w:val="006C056F"/>
    <w:rsid w:val="006C064D"/>
    <w:rsid w:val="006C06EB"/>
    <w:rsid w:val="006C1306"/>
    <w:rsid w:val="006C1C09"/>
    <w:rsid w:val="006C2085"/>
    <w:rsid w:val="006C224A"/>
    <w:rsid w:val="006C2A41"/>
    <w:rsid w:val="006C54D0"/>
    <w:rsid w:val="006C59AF"/>
    <w:rsid w:val="006C6458"/>
    <w:rsid w:val="006C6ECD"/>
    <w:rsid w:val="006D1F52"/>
    <w:rsid w:val="006D3B44"/>
    <w:rsid w:val="006D4231"/>
    <w:rsid w:val="006D4633"/>
    <w:rsid w:val="006D4E00"/>
    <w:rsid w:val="006D65D8"/>
    <w:rsid w:val="006D7204"/>
    <w:rsid w:val="006D78A1"/>
    <w:rsid w:val="006E045B"/>
    <w:rsid w:val="006E0C80"/>
    <w:rsid w:val="006E28F4"/>
    <w:rsid w:val="006E3532"/>
    <w:rsid w:val="006E6405"/>
    <w:rsid w:val="006F0027"/>
    <w:rsid w:val="006F05B7"/>
    <w:rsid w:val="006F0F49"/>
    <w:rsid w:val="006F18EB"/>
    <w:rsid w:val="006F198C"/>
    <w:rsid w:val="006F2FEC"/>
    <w:rsid w:val="006F50D1"/>
    <w:rsid w:val="006F5B0E"/>
    <w:rsid w:val="006F6F8A"/>
    <w:rsid w:val="007023C2"/>
    <w:rsid w:val="007054F2"/>
    <w:rsid w:val="0071142B"/>
    <w:rsid w:val="007115B9"/>
    <w:rsid w:val="00711DF3"/>
    <w:rsid w:val="00711F15"/>
    <w:rsid w:val="00711F1C"/>
    <w:rsid w:val="0071449B"/>
    <w:rsid w:val="00716095"/>
    <w:rsid w:val="007160E0"/>
    <w:rsid w:val="00716682"/>
    <w:rsid w:val="00717079"/>
    <w:rsid w:val="007174B0"/>
    <w:rsid w:val="007218FF"/>
    <w:rsid w:val="00722C15"/>
    <w:rsid w:val="0072381A"/>
    <w:rsid w:val="007249D7"/>
    <w:rsid w:val="007261DB"/>
    <w:rsid w:val="0072692E"/>
    <w:rsid w:val="00727723"/>
    <w:rsid w:val="00727761"/>
    <w:rsid w:val="007314F1"/>
    <w:rsid w:val="00735B79"/>
    <w:rsid w:val="0073689C"/>
    <w:rsid w:val="00740035"/>
    <w:rsid w:val="00741F98"/>
    <w:rsid w:val="00744BBB"/>
    <w:rsid w:val="007473AD"/>
    <w:rsid w:val="00750B3E"/>
    <w:rsid w:val="00750D07"/>
    <w:rsid w:val="00755FFB"/>
    <w:rsid w:val="0075721C"/>
    <w:rsid w:val="00757932"/>
    <w:rsid w:val="00760599"/>
    <w:rsid w:val="00763F5B"/>
    <w:rsid w:val="00766B05"/>
    <w:rsid w:val="00770E31"/>
    <w:rsid w:val="00774465"/>
    <w:rsid w:val="00774902"/>
    <w:rsid w:val="007767FB"/>
    <w:rsid w:val="00780D77"/>
    <w:rsid w:val="00782794"/>
    <w:rsid w:val="00783C0A"/>
    <w:rsid w:val="00784486"/>
    <w:rsid w:val="00787BCA"/>
    <w:rsid w:val="00791275"/>
    <w:rsid w:val="007917CB"/>
    <w:rsid w:val="0079353D"/>
    <w:rsid w:val="0079552F"/>
    <w:rsid w:val="00795F50"/>
    <w:rsid w:val="00796B40"/>
    <w:rsid w:val="007A02C2"/>
    <w:rsid w:val="007A1013"/>
    <w:rsid w:val="007A108D"/>
    <w:rsid w:val="007A1F9D"/>
    <w:rsid w:val="007A3486"/>
    <w:rsid w:val="007A4C39"/>
    <w:rsid w:val="007A5045"/>
    <w:rsid w:val="007A504A"/>
    <w:rsid w:val="007A55B1"/>
    <w:rsid w:val="007A6CB5"/>
    <w:rsid w:val="007B1D95"/>
    <w:rsid w:val="007B2989"/>
    <w:rsid w:val="007B3864"/>
    <w:rsid w:val="007B4D0E"/>
    <w:rsid w:val="007B6A0B"/>
    <w:rsid w:val="007C162E"/>
    <w:rsid w:val="007C2A1B"/>
    <w:rsid w:val="007C41A7"/>
    <w:rsid w:val="007C43AE"/>
    <w:rsid w:val="007C4DFD"/>
    <w:rsid w:val="007C5C3C"/>
    <w:rsid w:val="007C5CCA"/>
    <w:rsid w:val="007C66F8"/>
    <w:rsid w:val="007D5350"/>
    <w:rsid w:val="007D5E4B"/>
    <w:rsid w:val="007D691F"/>
    <w:rsid w:val="007D6AE5"/>
    <w:rsid w:val="007D6CA5"/>
    <w:rsid w:val="007E0F6D"/>
    <w:rsid w:val="007E23BA"/>
    <w:rsid w:val="007E2C17"/>
    <w:rsid w:val="007E4813"/>
    <w:rsid w:val="007E6A82"/>
    <w:rsid w:val="007F0D5D"/>
    <w:rsid w:val="007F135A"/>
    <w:rsid w:val="007F2BA4"/>
    <w:rsid w:val="007F32D8"/>
    <w:rsid w:val="007F369A"/>
    <w:rsid w:val="007F6506"/>
    <w:rsid w:val="007F7676"/>
    <w:rsid w:val="008005C1"/>
    <w:rsid w:val="00803C68"/>
    <w:rsid w:val="00803F87"/>
    <w:rsid w:val="00805B07"/>
    <w:rsid w:val="00807485"/>
    <w:rsid w:val="0081005D"/>
    <w:rsid w:val="008139B1"/>
    <w:rsid w:val="00813B63"/>
    <w:rsid w:val="00815BCC"/>
    <w:rsid w:val="0081779B"/>
    <w:rsid w:val="00817A24"/>
    <w:rsid w:val="00821776"/>
    <w:rsid w:val="008217AA"/>
    <w:rsid w:val="0082309D"/>
    <w:rsid w:val="008238E4"/>
    <w:rsid w:val="00825AD1"/>
    <w:rsid w:val="00825D43"/>
    <w:rsid w:val="00826854"/>
    <w:rsid w:val="00826E41"/>
    <w:rsid w:val="0083087A"/>
    <w:rsid w:val="008336E2"/>
    <w:rsid w:val="00837DA7"/>
    <w:rsid w:val="008411DD"/>
    <w:rsid w:val="00845A9D"/>
    <w:rsid w:val="00846E2A"/>
    <w:rsid w:val="008473F2"/>
    <w:rsid w:val="00851BEF"/>
    <w:rsid w:val="00855495"/>
    <w:rsid w:val="008617D0"/>
    <w:rsid w:val="008623A7"/>
    <w:rsid w:val="00863FBD"/>
    <w:rsid w:val="00870CA0"/>
    <w:rsid w:val="00870F22"/>
    <w:rsid w:val="00870F91"/>
    <w:rsid w:val="00872991"/>
    <w:rsid w:val="008734C8"/>
    <w:rsid w:val="0087534D"/>
    <w:rsid w:val="00875795"/>
    <w:rsid w:val="00876A41"/>
    <w:rsid w:val="00877BCE"/>
    <w:rsid w:val="00883CAB"/>
    <w:rsid w:val="00885952"/>
    <w:rsid w:val="0088636A"/>
    <w:rsid w:val="0089004F"/>
    <w:rsid w:val="00894664"/>
    <w:rsid w:val="00894A04"/>
    <w:rsid w:val="0089546A"/>
    <w:rsid w:val="00895A43"/>
    <w:rsid w:val="00896022"/>
    <w:rsid w:val="00896AFB"/>
    <w:rsid w:val="008A1831"/>
    <w:rsid w:val="008A1AA9"/>
    <w:rsid w:val="008A229B"/>
    <w:rsid w:val="008A4C39"/>
    <w:rsid w:val="008A5013"/>
    <w:rsid w:val="008A539C"/>
    <w:rsid w:val="008B13C4"/>
    <w:rsid w:val="008B1F81"/>
    <w:rsid w:val="008B3DD5"/>
    <w:rsid w:val="008C047B"/>
    <w:rsid w:val="008C1A5A"/>
    <w:rsid w:val="008C1F32"/>
    <w:rsid w:val="008C2C18"/>
    <w:rsid w:val="008D24ED"/>
    <w:rsid w:val="008D2D9E"/>
    <w:rsid w:val="008E209F"/>
    <w:rsid w:val="008E377A"/>
    <w:rsid w:val="008E49D7"/>
    <w:rsid w:val="008E5CFA"/>
    <w:rsid w:val="008E6A66"/>
    <w:rsid w:val="008E7A38"/>
    <w:rsid w:val="008E7F5B"/>
    <w:rsid w:val="008F0940"/>
    <w:rsid w:val="008F0A11"/>
    <w:rsid w:val="008F27C5"/>
    <w:rsid w:val="009072A4"/>
    <w:rsid w:val="00911356"/>
    <w:rsid w:val="00911904"/>
    <w:rsid w:val="00911E73"/>
    <w:rsid w:val="00913A4B"/>
    <w:rsid w:val="00914283"/>
    <w:rsid w:val="00916835"/>
    <w:rsid w:val="00916A84"/>
    <w:rsid w:val="00917728"/>
    <w:rsid w:val="00920099"/>
    <w:rsid w:val="009213FD"/>
    <w:rsid w:val="0092181F"/>
    <w:rsid w:val="00922507"/>
    <w:rsid w:val="00927C08"/>
    <w:rsid w:val="00930281"/>
    <w:rsid w:val="00932EDC"/>
    <w:rsid w:val="0093391F"/>
    <w:rsid w:val="00937111"/>
    <w:rsid w:val="009372E2"/>
    <w:rsid w:val="00940DF0"/>
    <w:rsid w:val="009429C9"/>
    <w:rsid w:val="00944BB8"/>
    <w:rsid w:val="00944BBC"/>
    <w:rsid w:val="00946BED"/>
    <w:rsid w:val="009470B8"/>
    <w:rsid w:val="00947B09"/>
    <w:rsid w:val="00947C25"/>
    <w:rsid w:val="009510FA"/>
    <w:rsid w:val="009520FC"/>
    <w:rsid w:val="00952515"/>
    <w:rsid w:val="00952634"/>
    <w:rsid w:val="00952722"/>
    <w:rsid w:val="009528DB"/>
    <w:rsid w:val="009535BA"/>
    <w:rsid w:val="00953FC5"/>
    <w:rsid w:val="0095501F"/>
    <w:rsid w:val="009565F9"/>
    <w:rsid w:val="00956CA1"/>
    <w:rsid w:val="009622A3"/>
    <w:rsid w:val="009639A1"/>
    <w:rsid w:val="00964D84"/>
    <w:rsid w:val="0097026C"/>
    <w:rsid w:val="00970306"/>
    <w:rsid w:val="00970485"/>
    <w:rsid w:val="00972955"/>
    <w:rsid w:val="00973CF2"/>
    <w:rsid w:val="00975F47"/>
    <w:rsid w:val="009801B2"/>
    <w:rsid w:val="009801D3"/>
    <w:rsid w:val="00980B66"/>
    <w:rsid w:val="009814F2"/>
    <w:rsid w:val="00987A33"/>
    <w:rsid w:val="0099035E"/>
    <w:rsid w:val="00993A5E"/>
    <w:rsid w:val="00993DC9"/>
    <w:rsid w:val="00993DF4"/>
    <w:rsid w:val="0099646E"/>
    <w:rsid w:val="00996E0D"/>
    <w:rsid w:val="00997F3F"/>
    <w:rsid w:val="009A0248"/>
    <w:rsid w:val="009A0A22"/>
    <w:rsid w:val="009A19E8"/>
    <w:rsid w:val="009A1CAD"/>
    <w:rsid w:val="009A4534"/>
    <w:rsid w:val="009A4BC0"/>
    <w:rsid w:val="009A4F49"/>
    <w:rsid w:val="009A6562"/>
    <w:rsid w:val="009A6DFB"/>
    <w:rsid w:val="009A73D4"/>
    <w:rsid w:val="009B02A3"/>
    <w:rsid w:val="009B0D72"/>
    <w:rsid w:val="009B2A6D"/>
    <w:rsid w:val="009B413C"/>
    <w:rsid w:val="009B5158"/>
    <w:rsid w:val="009B722B"/>
    <w:rsid w:val="009B7947"/>
    <w:rsid w:val="009C2ABF"/>
    <w:rsid w:val="009C436E"/>
    <w:rsid w:val="009C4864"/>
    <w:rsid w:val="009C4AD3"/>
    <w:rsid w:val="009C7EE0"/>
    <w:rsid w:val="009D0AA0"/>
    <w:rsid w:val="009D2AE0"/>
    <w:rsid w:val="009D4B3A"/>
    <w:rsid w:val="009D5394"/>
    <w:rsid w:val="009D5AEA"/>
    <w:rsid w:val="009D6B94"/>
    <w:rsid w:val="009E032C"/>
    <w:rsid w:val="009E151B"/>
    <w:rsid w:val="009E1CC0"/>
    <w:rsid w:val="009E29EE"/>
    <w:rsid w:val="009E405A"/>
    <w:rsid w:val="009E41D1"/>
    <w:rsid w:val="009E6FF9"/>
    <w:rsid w:val="009E7C9D"/>
    <w:rsid w:val="009F37CE"/>
    <w:rsid w:val="009F49CA"/>
    <w:rsid w:val="009F4C2C"/>
    <w:rsid w:val="009F6F6B"/>
    <w:rsid w:val="009F7C34"/>
    <w:rsid w:val="009F7CDC"/>
    <w:rsid w:val="00A0019D"/>
    <w:rsid w:val="00A00B3E"/>
    <w:rsid w:val="00A00B89"/>
    <w:rsid w:val="00A01D01"/>
    <w:rsid w:val="00A03CBF"/>
    <w:rsid w:val="00A062D2"/>
    <w:rsid w:val="00A067C3"/>
    <w:rsid w:val="00A10F97"/>
    <w:rsid w:val="00A1119F"/>
    <w:rsid w:val="00A1156E"/>
    <w:rsid w:val="00A14137"/>
    <w:rsid w:val="00A16E86"/>
    <w:rsid w:val="00A17DC8"/>
    <w:rsid w:val="00A20E1C"/>
    <w:rsid w:val="00A210AC"/>
    <w:rsid w:val="00A2136D"/>
    <w:rsid w:val="00A22B46"/>
    <w:rsid w:val="00A23980"/>
    <w:rsid w:val="00A343CE"/>
    <w:rsid w:val="00A348CA"/>
    <w:rsid w:val="00A37387"/>
    <w:rsid w:val="00A4056B"/>
    <w:rsid w:val="00A4097A"/>
    <w:rsid w:val="00A43059"/>
    <w:rsid w:val="00A440A7"/>
    <w:rsid w:val="00A4611D"/>
    <w:rsid w:val="00A468C7"/>
    <w:rsid w:val="00A50559"/>
    <w:rsid w:val="00A530ED"/>
    <w:rsid w:val="00A53CD2"/>
    <w:rsid w:val="00A55BB7"/>
    <w:rsid w:val="00A56E63"/>
    <w:rsid w:val="00A612D5"/>
    <w:rsid w:val="00A622C7"/>
    <w:rsid w:val="00A625A0"/>
    <w:rsid w:val="00A63116"/>
    <w:rsid w:val="00A63FCE"/>
    <w:rsid w:val="00A65C44"/>
    <w:rsid w:val="00A661C5"/>
    <w:rsid w:val="00A67ED9"/>
    <w:rsid w:val="00A70AF8"/>
    <w:rsid w:val="00A7126A"/>
    <w:rsid w:val="00A720C3"/>
    <w:rsid w:val="00A72423"/>
    <w:rsid w:val="00A768DB"/>
    <w:rsid w:val="00A77C7B"/>
    <w:rsid w:val="00A8090B"/>
    <w:rsid w:val="00A80D6D"/>
    <w:rsid w:val="00A81734"/>
    <w:rsid w:val="00A8282D"/>
    <w:rsid w:val="00A847AB"/>
    <w:rsid w:val="00A8593A"/>
    <w:rsid w:val="00A85AAE"/>
    <w:rsid w:val="00A86326"/>
    <w:rsid w:val="00A86A16"/>
    <w:rsid w:val="00A87036"/>
    <w:rsid w:val="00A91EA7"/>
    <w:rsid w:val="00A931C4"/>
    <w:rsid w:val="00A96488"/>
    <w:rsid w:val="00A96D0B"/>
    <w:rsid w:val="00A97223"/>
    <w:rsid w:val="00A97507"/>
    <w:rsid w:val="00A97F4F"/>
    <w:rsid w:val="00AA0463"/>
    <w:rsid w:val="00AA1ACE"/>
    <w:rsid w:val="00AA2FC8"/>
    <w:rsid w:val="00AA54BF"/>
    <w:rsid w:val="00AA675B"/>
    <w:rsid w:val="00AA67BD"/>
    <w:rsid w:val="00AA683B"/>
    <w:rsid w:val="00AB3372"/>
    <w:rsid w:val="00AB4B80"/>
    <w:rsid w:val="00AB65CD"/>
    <w:rsid w:val="00AC1ACD"/>
    <w:rsid w:val="00AC1BB0"/>
    <w:rsid w:val="00AC26A0"/>
    <w:rsid w:val="00AC4BBE"/>
    <w:rsid w:val="00AC7A4A"/>
    <w:rsid w:val="00AD0380"/>
    <w:rsid w:val="00AD09B7"/>
    <w:rsid w:val="00AD21DA"/>
    <w:rsid w:val="00AD5577"/>
    <w:rsid w:val="00AD5FFB"/>
    <w:rsid w:val="00AD627C"/>
    <w:rsid w:val="00AD6638"/>
    <w:rsid w:val="00AD6B81"/>
    <w:rsid w:val="00AD7B1E"/>
    <w:rsid w:val="00AE229A"/>
    <w:rsid w:val="00AE2A44"/>
    <w:rsid w:val="00AE3BB7"/>
    <w:rsid w:val="00AE6446"/>
    <w:rsid w:val="00AE69FB"/>
    <w:rsid w:val="00AE72C0"/>
    <w:rsid w:val="00AE7D4E"/>
    <w:rsid w:val="00AF08BD"/>
    <w:rsid w:val="00AF232B"/>
    <w:rsid w:val="00AF43F6"/>
    <w:rsid w:val="00AF45FB"/>
    <w:rsid w:val="00B00A34"/>
    <w:rsid w:val="00B022D1"/>
    <w:rsid w:val="00B026C1"/>
    <w:rsid w:val="00B03DFC"/>
    <w:rsid w:val="00B059EF"/>
    <w:rsid w:val="00B06781"/>
    <w:rsid w:val="00B06C06"/>
    <w:rsid w:val="00B07E93"/>
    <w:rsid w:val="00B10678"/>
    <w:rsid w:val="00B10A09"/>
    <w:rsid w:val="00B10DD9"/>
    <w:rsid w:val="00B11039"/>
    <w:rsid w:val="00B1259F"/>
    <w:rsid w:val="00B128FC"/>
    <w:rsid w:val="00B1493F"/>
    <w:rsid w:val="00B15CA3"/>
    <w:rsid w:val="00B17442"/>
    <w:rsid w:val="00B176CF"/>
    <w:rsid w:val="00B2041D"/>
    <w:rsid w:val="00B229FD"/>
    <w:rsid w:val="00B2418C"/>
    <w:rsid w:val="00B263F6"/>
    <w:rsid w:val="00B271A3"/>
    <w:rsid w:val="00B30DE8"/>
    <w:rsid w:val="00B31453"/>
    <w:rsid w:val="00B31FE3"/>
    <w:rsid w:val="00B32F33"/>
    <w:rsid w:val="00B3457A"/>
    <w:rsid w:val="00B36072"/>
    <w:rsid w:val="00B378F9"/>
    <w:rsid w:val="00B407EF"/>
    <w:rsid w:val="00B41AF9"/>
    <w:rsid w:val="00B42778"/>
    <w:rsid w:val="00B43A17"/>
    <w:rsid w:val="00B473EC"/>
    <w:rsid w:val="00B47577"/>
    <w:rsid w:val="00B47F21"/>
    <w:rsid w:val="00B5125C"/>
    <w:rsid w:val="00B5686E"/>
    <w:rsid w:val="00B56F28"/>
    <w:rsid w:val="00B656AE"/>
    <w:rsid w:val="00B70FC5"/>
    <w:rsid w:val="00B719A7"/>
    <w:rsid w:val="00B73689"/>
    <w:rsid w:val="00B7459C"/>
    <w:rsid w:val="00B75B98"/>
    <w:rsid w:val="00B75C7F"/>
    <w:rsid w:val="00B76CA1"/>
    <w:rsid w:val="00B77871"/>
    <w:rsid w:val="00B808EB"/>
    <w:rsid w:val="00B8572E"/>
    <w:rsid w:val="00B8666C"/>
    <w:rsid w:val="00B90035"/>
    <w:rsid w:val="00B92662"/>
    <w:rsid w:val="00B9281B"/>
    <w:rsid w:val="00B938C2"/>
    <w:rsid w:val="00B95AD2"/>
    <w:rsid w:val="00B95EC1"/>
    <w:rsid w:val="00B95FB7"/>
    <w:rsid w:val="00B96A7E"/>
    <w:rsid w:val="00B97536"/>
    <w:rsid w:val="00BA1182"/>
    <w:rsid w:val="00BA2912"/>
    <w:rsid w:val="00BA3C39"/>
    <w:rsid w:val="00BA640F"/>
    <w:rsid w:val="00BB13E3"/>
    <w:rsid w:val="00BB3577"/>
    <w:rsid w:val="00BB46FD"/>
    <w:rsid w:val="00BB5492"/>
    <w:rsid w:val="00BB6739"/>
    <w:rsid w:val="00BB6BA8"/>
    <w:rsid w:val="00BC0DB0"/>
    <w:rsid w:val="00BC0F54"/>
    <w:rsid w:val="00BC2C6D"/>
    <w:rsid w:val="00BC420E"/>
    <w:rsid w:val="00BC52B0"/>
    <w:rsid w:val="00BC6930"/>
    <w:rsid w:val="00BC75D1"/>
    <w:rsid w:val="00BD07CC"/>
    <w:rsid w:val="00BD1E5C"/>
    <w:rsid w:val="00BD2541"/>
    <w:rsid w:val="00BD6DA6"/>
    <w:rsid w:val="00BE0395"/>
    <w:rsid w:val="00BE1079"/>
    <w:rsid w:val="00BE2AE2"/>
    <w:rsid w:val="00BE366F"/>
    <w:rsid w:val="00BE38F7"/>
    <w:rsid w:val="00BE438E"/>
    <w:rsid w:val="00BE45C4"/>
    <w:rsid w:val="00BE466E"/>
    <w:rsid w:val="00BE54E1"/>
    <w:rsid w:val="00BE5564"/>
    <w:rsid w:val="00BE6C26"/>
    <w:rsid w:val="00BE7171"/>
    <w:rsid w:val="00BE76A7"/>
    <w:rsid w:val="00BF0B0D"/>
    <w:rsid w:val="00BF24F2"/>
    <w:rsid w:val="00BF2F53"/>
    <w:rsid w:val="00BF3352"/>
    <w:rsid w:val="00BF3487"/>
    <w:rsid w:val="00BF3A22"/>
    <w:rsid w:val="00BF76D8"/>
    <w:rsid w:val="00BF772A"/>
    <w:rsid w:val="00C0049A"/>
    <w:rsid w:val="00C0106E"/>
    <w:rsid w:val="00C0141E"/>
    <w:rsid w:val="00C05486"/>
    <w:rsid w:val="00C06BDF"/>
    <w:rsid w:val="00C0763F"/>
    <w:rsid w:val="00C079A4"/>
    <w:rsid w:val="00C10885"/>
    <w:rsid w:val="00C10EAB"/>
    <w:rsid w:val="00C115D4"/>
    <w:rsid w:val="00C12F8E"/>
    <w:rsid w:val="00C13745"/>
    <w:rsid w:val="00C13A61"/>
    <w:rsid w:val="00C165CF"/>
    <w:rsid w:val="00C17C03"/>
    <w:rsid w:val="00C20034"/>
    <w:rsid w:val="00C218AE"/>
    <w:rsid w:val="00C22F18"/>
    <w:rsid w:val="00C2327A"/>
    <w:rsid w:val="00C26F62"/>
    <w:rsid w:val="00C2726C"/>
    <w:rsid w:val="00C32DC6"/>
    <w:rsid w:val="00C338F4"/>
    <w:rsid w:val="00C34016"/>
    <w:rsid w:val="00C3449E"/>
    <w:rsid w:val="00C3469A"/>
    <w:rsid w:val="00C353CE"/>
    <w:rsid w:val="00C35662"/>
    <w:rsid w:val="00C361C6"/>
    <w:rsid w:val="00C37099"/>
    <w:rsid w:val="00C403A8"/>
    <w:rsid w:val="00C4046A"/>
    <w:rsid w:val="00C41B44"/>
    <w:rsid w:val="00C42EA8"/>
    <w:rsid w:val="00C45325"/>
    <w:rsid w:val="00C45B8A"/>
    <w:rsid w:val="00C46109"/>
    <w:rsid w:val="00C5014C"/>
    <w:rsid w:val="00C50DA1"/>
    <w:rsid w:val="00C5203B"/>
    <w:rsid w:val="00C52A9C"/>
    <w:rsid w:val="00C531AD"/>
    <w:rsid w:val="00C54E10"/>
    <w:rsid w:val="00C55FA7"/>
    <w:rsid w:val="00C56B93"/>
    <w:rsid w:val="00C60E93"/>
    <w:rsid w:val="00C6107E"/>
    <w:rsid w:val="00C64137"/>
    <w:rsid w:val="00C644E5"/>
    <w:rsid w:val="00C64D2F"/>
    <w:rsid w:val="00C65C54"/>
    <w:rsid w:val="00C65CD0"/>
    <w:rsid w:val="00C66223"/>
    <w:rsid w:val="00C6704B"/>
    <w:rsid w:val="00C67E44"/>
    <w:rsid w:val="00C703F0"/>
    <w:rsid w:val="00C728AA"/>
    <w:rsid w:val="00C752B7"/>
    <w:rsid w:val="00C7540E"/>
    <w:rsid w:val="00C75836"/>
    <w:rsid w:val="00C75B84"/>
    <w:rsid w:val="00C760AA"/>
    <w:rsid w:val="00C76114"/>
    <w:rsid w:val="00C7680E"/>
    <w:rsid w:val="00C812E3"/>
    <w:rsid w:val="00C85D19"/>
    <w:rsid w:val="00C85EEE"/>
    <w:rsid w:val="00C8789D"/>
    <w:rsid w:val="00C91B94"/>
    <w:rsid w:val="00C91CDB"/>
    <w:rsid w:val="00C92441"/>
    <w:rsid w:val="00C93EAB"/>
    <w:rsid w:val="00C97342"/>
    <w:rsid w:val="00CA183A"/>
    <w:rsid w:val="00CA365C"/>
    <w:rsid w:val="00CA473C"/>
    <w:rsid w:val="00CA4E35"/>
    <w:rsid w:val="00CA52E2"/>
    <w:rsid w:val="00CA610C"/>
    <w:rsid w:val="00CA6B2C"/>
    <w:rsid w:val="00CA7619"/>
    <w:rsid w:val="00CA7B9A"/>
    <w:rsid w:val="00CB091B"/>
    <w:rsid w:val="00CB4B88"/>
    <w:rsid w:val="00CB5D2F"/>
    <w:rsid w:val="00CC175E"/>
    <w:rsid w:val="00CC2598"/>
    <w:rsid w:val="00CC2F55"/>
    <w:rsid w:val="00CC3F18"/>
    <w:rsid w:val="00CC64A9"/>
    <w:rsid w:val="00CC7F2E"/>
    <w:rsid w:val="00CD16B6"/>
    <w:rsid w:val="00CD1D16"/>
    <w:rsid w:val="00CD36BF"/>
    <w:rsid w:val="00CD3733"/>
    <w:rsid w:val="00CD4641"/>
    <w:rsid w:val="00CD5725"/>
    <w:rsid w:val="00CD7B49"/>
    <w:rsid w:val="00CE1548"/>
    <w:rsid w:val="00CE5C89"/>
    <w:rsid w:val="00CF14CB"/>
    <w:rsid w:val="00CF44CF"/>
    <w:rsid w:val="00CF4B8E"/>
    <w:rsid w:val="00CF4EFA"/>
    <w:rsid w:val="00CF693B"/>
    <w:rsid w:val="00D005A5"/>
    <w:rsid w:val="00D00D7B"/>
    <w:rsid w:val="00D0153F"/>
    <w:rsid w:val="00D0254A"/>
    <w:rsid w:val="00D0496A"/>
    <w:rsid w:val="00D04AA5"/>
    <w:rsid w:val="00D05FDA"/>
    <w:rsid w:val="00D06816"/>
    <w:rsid w:val="00D106F0"/>
    <w:rsid w:val="00D107A0"/>
    <w:rsid w:val="00D10F97"/>
    <w:rsid w:val="00D1665B"/>
    <w:rsid w:val="00D16A39"/>
    <w:rsid w:val="00D22AF3"/>
    <w:rsid w:val="00D25B13"/>
    <w:rsid w:val="00D275E5"/>
    <w:rsid w:val="00D30DD5"/>
    <w:rsid w:val="00D35CC6"/>
    <w:rsid w:val="00D36F5B"/>
    <w:rsid w:val="00D36FFB"/>
    <w:rsid w:val="00D37705"/>
    <w:rsid w:val="00D427A8"/>
    <w:rsid w:val="00D42A6E"/>
    <w:rsid w:val="00D42D2A"/>
    <w:rsid w:val="00D45B44"/>
    <w:rsid w:val="00D46417"/>
    <w:rsid w:val="00D4730A"/>
    <w:rsid w:val="00D50AF4"/>
    <w:rsid w:val="00D51ADB"/>
    <w:rsid w:val="00D52536"/>
    <w:rsid w:val="00D526E0"/>
    <w:rsid w:val="00D53E59"/>
    <w:rsid w:val="00D558BC"/>
    <w:rsid w:val="00D56F8F"/>
    <w:rsid w:val="00D61CBC"/>
    <w:rsid w:val="00D62F30"/>
    <w:rsid w:val="00D66954"/>
    <w:rsid w:val="00D67630"/>
    <w:rsid w:val="00D70638"/>
    <w:rsid w:val="00D71C54"/>
    <w:rsid w:val="00D734D3"/>
    <w:rsid w:val="00D73D6F"/>
    <w:rsid w:val="00D76773"/>
    <w:rsid w:val="00D8002F"/>
    <w:rsid w:val="00D80746"/>
    <w:rsid w:val="00D82C0C"/>
    <w:rsid w:val="00D83313"/>
    <w:rsid w:val="00D854B4"/>
    <w:rsid w:val="00D85908"/>
    <w:rsid w:val="00D8650F"/>
    <w:rsid w:val="00D92255"/>
    <w:rsid w:val="00D9290F"/>
    <w:rsid w:val="00D92DB5"/>
    <w:rsid w:val="00D92EAA"/>
    <w:rsid w:val="00D95C4B"/>
    <w:rsid w:val="00D96D11"/>
    <w:rsid w:val="00D96FC9"/>
    <w:rsid w:val="00D97EF2"/>
    <w:rsid w:val="00DA0BFD"/>
    <w:rsid w:val="00DA10B7"/>
    <w:rsid w:val="00DA1C32"/>
    <w:rsid w:val="00DA2B44"/>
    <w:rsid w:val="00DA469E"/>
    <w:rsid w:val="00DA4C5E"/>
    <w:rsid w:val="00DA4ED0"/>
    <w:rsid w:val="00DA526C"/>
    <w:rsid w:val="00DA5EF8"/>
    <w:rsid w:val="00DA7522"/>
    <w:rsid w:val="00DA7DAA"/>
    <w:rsid w:val="00DB1031"/>
    <w:rsid w:val="00DB262B"/>
    <w:rsid w:val="00DB29D0"/>
    <w:rsid w:val="00DB44C7"/>
    <w:rsid w:val="00DB4DE7"/>
    <w:rsid w:val="00DC22F1"/>
    <w:rsid w:val="00DC23AA"/>
    <w:rsid w:val="00DC2FA2"/>
    <w:rsid w:val="00DC3B1E"/>
    <w:rsid w:val="00DC538F"/>
    <w:rsid w:val="00DC5679"/>
    <w:rsid w:val="00DC68E5"/>
    <w:rsid w:val="00DC73C4"/>
    <w:rsid w:val="00DC74A2"/>
    <w:rsid w:val="00DC7BCF"/>
    <w:rsid w:val="00DD0E12"/>
    <w:rsid w:val="00DD287E"/>
    <w:rsid w:val="00DD6146"/>
    <w:rsid w:val="00DD63B9"/>
    <w:rsid w:val="00DE0645"/>
    <w:rsid w:val="00DE3819"/>
    <w:rsid w:val="00DE51B8"/>
    <w:rsid w:val="00DE7574"/>
    <w:rsid w:val="00DF01A5"/>
    <w:rsid w:val="00DF078F"/>
    <w:rsid w:val="00DF2B0B"/>
    <w:rsid w:val="00DF358B"/>
    <w:rsid w:val="00DF37E3"/>
    <w:rsid w:val="00DF41C1"/>
    <w:rsid w:val="00DF4277"/>
    <w:rsid w:val="00DF452F"/>
    <w:rsid w:val="00DF4F47"/>
    <w:rsid w:val="00DF6583"/>
    <w:rsid w:val="00DF71D2"/>
    <w:rsid w:val="00E00641"/>
    <w:rsid w:val="00E036C8"/>
    <w:rsid w:val="00E03F43"/>
    <w:rsid w:val="00E0733E"/>
    <w:rsid w:val="00E077EA"/>
    <w:rsid w:val="00E12A46"/>
    <w:rsid w:val="00E1331F"/>
    <w:rsid w:val="00E13D11"/>
    <w:rsid w:val="00E16942"/>
    <w:rsid w:val="00E16A53"/>
    <w:rsid w:val="00E16CB8"/>
    <w:rsid w:val="00E1784E"/>
    <w:rsid w:val="00E2185A"/>
    <w:rsid w:val="00E231F4"/>
    <w:rsid w:val="00E24C67"/>
    <w:rsid w:val="00E24DFB"/>
    <w:rsid w:val="00E26304"/>
    <w:rsid w:val="00E26F3B"/>
    <w:rsid w:val="00E27984"/>
    <w:rsid w:val="00E30301"/>
    <w:rsid w:val="00E30F1A"/>
    <w:rsid w:val="00E30F50"/>
    <w:rsid w:val="00E313AB"/>
    <w:rsid w:val="00E33841"/>
    <w:rsid w:val="00E343F7"/>
    <w:rsid w:val="00E36337"/>
    <w:rsid w:val="00E37C3F"/>
    <w:rsid w:val="00E37CE7"/>
    <w:rsid w:val="00E40F1C"/>
    <w:rsid w:val="00E4111A"/>
    <w:rsid w:val="00E41349"/>
    <w:rsid w:val="00E41E89"/>
    <w:rsid w:val="00E42F20"/>
    <w:rsid w:val="00E448B3"/>
    <w:rsid w:val="00E45B04"/>
    <w:rsid w:val="00E46E5E"/>
    <w:rsid w:val="00E50AF6"/>
    <w:rsid w:val="00E520E9"/>
    <w:rsid w:val="00E520F5"/>
    <w:rsid w:val="00E52175"/>
    <w:rsid w:val="00E530AC"/>
    <w:rsid w:val="00E5393E"/>
    <w:rsid w:val="00E54B40"/>
    <w:rsid w:val="00E56F14"/>
    <w:rsid w:val="00E626E6"/>
    <w:rsid w:val="00E62A0C"/>
    <w:rsid w:val="00E62ABD"/>
    <w:rsid w:val="00E65902"/>
    <w:rsid w:val="00E67782"/>
    <w:rsid w:val="00E70F5C"/>
    <w:rsid w:val="00E71832"/>
    <w:rsid w:val="00E71EEA"/>
    <w:rsid w:val="00E72879"/>
    <w:rsid w:val="00E73209"/>
    <w:rsid w:val="00E75028"/>
    <w:rsid w:val="00E750F9"/>
    <w:rsid w:val="00E81402"/>
    <w:rsid w:val="00E81B56"/>
    <w:rsid w:val="00E81D6D"/>
    <w:rsid w:val="00E834C1"/>
    <w:rsid w:val="00E8361F"/>
    <w:rsid w:val="00E84224"/>
    <w:rsid w:val="00E845F1"/>
    <w:rsid w:val="00E8468D"/>
    <w:rsid w:val="00E84B45"/>
    <w:rsid w:val="00E84E15"/>
    <w:rsid w:val="00E91975"/>
    <w:rsid w:val="00E92E2C"/>
    <w:rsid w:val="00E939C4"/>
    <w:rsid w:val="00E93B1F"/>
    <w:rsid w:val="00EA081E"/>
    <w:rsid w:val="00EA2AD6"/>
    <w:rsid w:val="00EA30B6"/>
    <w:rsid w:val="00EA375A"/>
    <w:rsid w:val="00EA49AF"/>
    <w:rsid w:val="00EA58DD"/>
    <w:rsid w:val="00EA599E"/>
    <w:rsid w:val="00EA5E0F"/>
    <w:rsid w:val="00EB038D"/>
    <w:rsid w:val="00EB11E3"/>
    <w:rsid w:val="00EB2E4E"/>
    <w:rsid w:val="00EB39C6"/>
    <w:rsid w:val="00EB41A7"/>
    <w:rsid w:val="00EB67D1"/>
    <w:rsid w:val="00EC00A5"/>
    <w:rsid w:val="00EC453B"/>
    <w:rsid w:val="00EC5D30"/>
    <w:rsid w:val="00EC7781"/>
    <w:rsid w:val="00ED0F5E"/>
    <w:rsid w:val="00ED1361"/>
    <w:rsid w:val="00ED14D1"/>
    <w:rsid w:val="00ED1802"/>
    <w:rsid w:val="00ED1E88"/>
    <w:rsid w:val="00ED24E0"/>
    <w:rsid w:val="00ED3A7B"/>
    <w:rsid w:val="00ED58CD"/>
    <w:rsid w:val="00EE00AA"/>
    <w:rsid w:val="00EE02DF"/>
    <w:rsid w:val="00EE58E7"/>
    <w:rsid w:val="00EE5E81"/>
    <w:rsid w:val="00EE7AB6"/>
    <w:rsid w:val="00EE7C69"/>
    <w:rsid w:val="00EF40CA"/>
    <w:rsid w:val="00EF4465"/>
    <w:rsid w:val="00F00592"/>
    <w:rsid w:val="00F005AC"/>
    <w:rsid w:val="00F0345A"/>
    <w:rsid w:val="00F036E7"/>
    <w:rsid w:val="00F044F4"/>
    <w:rsid w:val="00F05495"/>
    <w:rsid w:val="00F05B69"/>
    <w:rsid w:val="00F0713A"/>
    <w:rsid w:val="00F108FE"/>
    <w:rsid w:val="00F127A7"/>
    <w:rsid w:val="00F12B3A"/>
    <w:rsid w:val="00F13CA4"/>
    <w:rsid w:val="00F1479A"/>
    <w:rsid w:val="00F1678B"/>
    <w:rsid w:val="00F17590"/>
    <w:rsid w:val="00F17AE9"/>
    <w:rsid w:val="00F20E0C"/>
    <w:rsid w:val="00F22BFF"/>
    <w:rsid w:val="00F24577"/>
    <w:rsid w:val="00F246AA"/>
    <w:rsid w:val="00F24F0E"/>
    <w:rsid w:val="00F26B5F"/>
    <w:rsid w:val="00F3157F"/>
    <w:rsid w:val="00F31706"/>
    <w:rsid w:val="00F3324A"/>
    <w:rsid w:val="00F33487"/>
    <w:rsid w:val="00F34D71"/>
    <w:rsid w:val="00F3772F"/>
    <w:rsid w:val="00F4367A"/>
    <w:rsid w:val="00F46808"/>
    <w:rsid w:val="00F46CD9"/>
    <w:rsid w:val="00F519C8"/>
    <w:rsid w:val="00F52927"/>
    <w:rsid w:val="00F52A47"/>
    <w:rsid w:val="00F52E00"/>
    <w:rsid w:val="00F5393E"/>
    <w:rsid w:val="00F54082"/>
    <w:rsid w:val="00F54F0F"/>
    <w:rsid w:val="00F55B40"/>
    <w:rsid w:val="00F56B51"/>
    <w:rsid w:val="00F57267"/>
    <w:rsid w:val="00F572E8"/>
    <w:rsid w:val="00F57830"/>
    <w:rsid w:val="00F6243E"/>
    <w:rsid w:val="00F65A09"/>
    <w:rsid w:val="00F6601A"/>
    <w:rsid w:val="00F66280"/>
    <w:rsid w:val="00F662E6"/>
    <w:rsid w:val="00F6721A"/>
    <w:rsid w:val="00F708CB"/>
    <w:rsid w:val="00F70B78"/>
    <w:rsid w:val="00F711FD"/>
    <w:rsid w:val="00F71B94"/>
    <w:rsid w:val="00F72CBF"/>
    <w:rsid w:val="00F750EC"/>
    <w:rsid w:val="00F76693"/>
    <w:rsid w:val="00F77B0A"/>
    <w:rsid w:val="00F80A65"/>
    <w:rsid w:val="00F80EF6"/>
    <w:rsid w:val="00F8119F"/>
    <w:rsid w:val="00F812EE"/>
    <w:rsid w:val="00F81836"/>
    <w:rsid w:val="00F82152"/>
    <w:rsid w:val="00F879E6"/>
    <w:rsid w:val="00F9044C"/>
    <w:rsid w:val="00F9253F"/>
    <w:rsid w:val="00F92E62"/>
    <w:rsid w:val="00F92E85"/>
    <w:rsid w:val="00F96667"/>
    <w:rsid w:val="00F96B4B"/>
    <w:rsid w:val="00FA01C4"/>
    <w:rsid w:val="00FA2713"/>
    <w:rsid w:val="00FA5C0D"/>
    <w:rsid w:val="00FA603C"/>
    <w:rsid w:val="00FA6C7D"/>
    <w:rsid w:val="00FA7132"/>
    <w:rsid w:val="00FA783D"/>
    <w:rsid w:val="00FA7A63"/>
    <w:rsid w:val="00FB0018"/>
    <w:rsid w:val="00FB0EC4"/>
    <w:rsid w:val="00FB1298"/>
    <w:rsid w:val="00FB2543"/>
    <w:rsid w:val="00FB4592"/>
    <w:rsid w:val="00FB610D"/>
    <w:rsid w:val="00FB646E"/>
    <w:rsid w:val="00FB695A"/>
    <w:rsid w:val="00FC01AA"/>
    <w:rsid w:val="00FC2CB1"/>
    <w:rsid w:val="00FC3D62"/>
    <w:rsid w:val="00FC4397"/>
    <w:rsid w:val="00FC6CC3"/>
    <w:rsid w:val="00FC7132"/>
    <w:rsid w:val="00FD0480"/>
    <w:rsid w:val="00FD501A"/>
    <w:rsid w:val="00FD5C4B"/>
    <w:rsid w:val="00FD68F1"/>
    <w:rsid w:val="00FD6B38"/>
    <w:rsid w:val="00FE3AB8"/>
    <w:rsid w:val="00FE5507"/>
    <w:rsid w:val="00FE6A50"/>
    <w:rsid w:val="00FE7002"/>
    <w:rsid w:val="00FE7232"/>
    <w:rsid w:val="00FE7C06"/>
    <w:rsid w:val="00FF51EB"/>
    <w:rsid w:val="04357B0D"/>
    <w:rsid w:val="0B270CA4"/>
    <w:rsid w:val="0EB746A9"/>
    <w:rsid w:val="10F135BC"/>
    <w:rsid w:val="14E05E3A"/>
    <w:rsid w:val="153654D3"/>
    <w:rsid w:val="168935AD"/>
    <w:rsid w:val="1B3D7F0E"/>
    <w:rsid w:val="20F23BFF"/>
    <w:rsid w:val="2BD526FF"/>
    <w:rsid w:val="33185A3F"/>
    <w:rsid w:val="34A40CC7"/>
    <w:rsid w:val="3F433984"/>
    <w:rsid w:val="430D53B4"/>
    <w:rsid w:val="43E8418D"/>
    <w:rsid w:val="4B0D4B5E"/>
    <w:rsid w:val="4FE96277"/>
    <w:rsid w:val="521B3CFA"/>
    <w:rsid w:val="59CA71FC"/>
    <w:rsid w:val="59D86E27"/>
    <w:rsid w:val="5E1C17B6"/>
    <w:rsid w:val="6164498C"/>
    <w:rsid w:val="63C07948"/>
    <w:rsid w:val="65A87388"/>
    <w:rsid w:val="6ECD734A"/>
    <w:rsid w:val="7A9059E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0"/>
    <w:qFormat/>
    <w:uiPriority w:val="0"/>
    <w:pPr>
      <w:keepNext/>
      <w:widowControl/>
      <w:numPr>
        <w:ilvl w:val="0"/>
        <w:numId w:val="1"/>
      </w:numPr>
      <w:spacing w:after="240" w:line="240" w:lineRule="atLeast"/>
      <w:jc w:val="left"/>
      <w:outlineLvl w:val="0"/>
    </w:pPr>
    <w:rPr>
      <w:rFonts w:ascii="Arial" w:hAnsi="Arial"/>
      <w:b/>
      <w:spacing w:val="-5"/>
      <w:kern w:val="0"/>
      <w:sz w:val="40"/>
      <w:lang w:eastAsia="en-US"/>
    </w:rPr>
  </w:style>
  <w:style w:type="paragraph" w:styleId="3">
    <w:name w:val="heading 2"/>
    <w:basedOn w:val="1"/>
    <w:next w:val="1"/>
    <w:link w:val="31"/>
    <w:qFormat/>
    <w:uiPriority w:val="0"/>
    <w:pPr>
      <w:keepNext/>
      <w:widowControl/>
      <w:numPr>
        <w:ilvl w:val="1"/>
        <w:numId w:val="1"/>
      </w:numPr>
      <w:spacing w:before="240" w:after="240" w:line="240" w:lineRule="atLeast"/>
      <w:jc w:val="left"/>
      <w:outlineLvl w:val="1"/>
    </w:pPr>
    <w:rPr>
      <w:rFonts w:ascii="Arial" w:hAnsi="Arial"/>
      <w:b/>
      <w:spacing w:val="-5"/>
      <w:kern w:val="0"/>
      <w:sz w:val="32"/>
      <w:lang w:eastAsia="en-US"/>
    </w:rPr>
  </w:style>
  <w:style w:type="paragraph" w:styleId="4">
    <w:name w:val="heading 3"/>
    <w:basedOn w:val="3"/>
    <w:next w:val="1"/>
    <w:link w:val="32"/>
    <w:qFormat/>
    <w:uiPriority w:val="0"/>
    <w:pPr>
      <w:numPr>
        <w:ilvl w:val="2"/>
      </w:numPr>
      <w:outlineLvl w:val="2"/>
    </w:pPr>
    <w:rPr>
      <w:i/>
      <w:sz w:val="24"/>
    </w:rPr>
  </w:style>
  <w:style w:type="paragraph" w:styleId="5">
    <w:name w:val="heading 4"/>
    <w:basedOn w:val="4"/>
    <w:next w:val="1"/>
    <w:link w:val="33"/>
    <w:qFormat/>
    <w:uiPriority w:val="0"/>
    <w:pPr>
      <w:numPr>
        <w:ilvl w:val="3"/>
      </w:numPr>
      <w:spacing w:after="60"/>
      <w:outlineLvl w:val="3"/>
    </w:pPr>
    <w:rPr>
      <w:rFonts w:ascii="Times New Roman" w:hAnsi="Times New Roman"/>
    </w:rPr>
  </w:style>
  <w:style w:type="paragraph" w:styleId="6">
    <w:name w:val="heading 5"/>
    <w:basedOn w:val="1"/>
    <w:next w:val="1"/>
    <w:link w:val="34"/>
    <w:qFormat/>
    <w:uiPriority w:val="0"/>
    <w:pPr>
      <w:widowControl/>
      <w:numPr>
        <w:ilvl w:val="4"/>
        <w:numId w:val="1"/>
      </w:numPr>
      <w:spacing w:before="240" w:after="60" w:line="240" w:lineRule="atLeast"/>
      <w:jc w:val="left"/>
      <w:outlineLvl w:val="4"/>
    </w:pPr>
    <w:rPr>
      <w:rFonts w:ascii="Arial" w:hAnsi="Arial"/>
      <w:spacing w:val="-5"/>
      <w:kern w:val="0"/>
      <w:sz w:val="22"/>
      <w:lang w:eastAsia="en-US"/>
    </w:rPr>
  </w:style>
  <w:style w:type="paragraph" w:styleId="7">
    <w:name w:val="heading 6"/>
    <w:basedOn w:val="1"/>
    <w:next w:val="1"/>
    <w:link w:val="35"/>
    <w:qFormat/>
    <w:uiPriority w:val="0"/>
    <w:pPr>
      <w:widowControl/>
      <w:numPr>
        <w:ilvl w:val="5"/>
        <w:numId w:val="1"/>
      </w:numPr>
      <w:spacing w:before="240" w:after="60" w:line="240" w:lineRule="atLeast"/>
      <w:jc w:val="left"/>
      <w:outlineLvl w:val="5"/>
    </w:pPr>
    <w:rPr>
      <w:rFonts w:ascii="Arial" w:hAnsi="Arial"/>
      <w:i/>
      <w:spacing w:val="-5"/>
      <w:kern w:val="0"/>
      <w:sz w:val="22"/>
      <w:lang w:eastAsia="en-US"/>
    </w:rPr>
  </w:style>
  <w:style w:type="paragraph" w:styleId="8">
    <w:name w:val="heading 7"/>
    <w:basedOn w:val="1"/>
    <w:next w:val="1"/>
    <w:link w:val="36"/>
    <w:qFormat/>
    <w:uiPriority w:val="0"/>
    <w:pPr>
      <w:widowControl/>
      <w:numPr>
        <w:ilvl w:val="6"/>
        <w:numId w:val="1"/>
      </w:numPr>
      <w:spacing w:before="240" w:after="60" w:line="240" w:lineRule="atLeast"/>
      <w:jc w:val="left"/>
      <w:outlineLvl w:val="6"/>
    </w:pPr>
    <w:rPr>
      <w:rFonts w:ascii="Arial" w:hAnsi="Arial"/>
      <w:spacing w:val="-5"/>
      <w:kern w:val="0"/>
      <w:sz w:val="20"/>
      <w:lang w:eastAsia="en-US"/>
    </w:rPr>
  </w:style>
  <w:style w:type="paragraph" w:styleId="9">
    <w:name w:val="heading 8"/>
    <w:basedOn w:val="1"/>
    <w:next w:val="1"/>
    <w:link w:val="37"/>
    <w:qFormat/>
    <w:uiPriority w:val="0"/>
    <w:pPr>
      <w:widowControl/>
      <w:numPr>
        <w:ilvl w:val="7"/>
        <w:numId w:val="1"/>
      </w:numPr>
      <w:spacing w:before="240" w:after="60" w:line="240" w:lineRule="atLeast"/>
      <w:jc w:val="left"/>
      <w:outlineLvl w:val="7"/>
    </w:pPr>
    <w:rPr>
      <w:rFonts w:ascii="Arial" w:hAnsi="Arial"/>
      <w:i/>
      <w:spacing w:val="-5"/>
      <w:kern w:val="0"/>
      <w:sz w:val="20"/>
      <w:lang w:eastAsia="en-US"/>
    </w:rPr>
  </w:style>
  <w:style w:type="paragraph" w:styleId="10">
    <w:name w:val="heading 9"/>
    <w:basedOn w:val="1"/>
    <w:next w:val="1"/>
    <w:link w:val="38"/>
    <w:qFormat/>
    <w:uiPriority w:val="0"/>
    <w:pPr>
      <w:widowControl/>
      <w:numPr>
        <w:ilvl w:val="8"/>
        <w:numId w:val="1"/>
      </w:numPr>
      <w:spacing w:before="240" w:after="60" w:line="240" w:lineRule="atLeast"/>
      <w:jc w:val="left"/>
      <w:outlineLvl w:val="8"/>
    </w:pPr>
    <w:rPr>
      <w:rFonts w:ascii="Arial" w:hAnsi="Arial"/>
      <w:i/>
      <w:spacing w:val="-5"/>
      <w:kern w:val="0"/>
      <w:sz w:val="18"/>
      <w:lang w:eastAsia="en-US"/>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27"/>
    <w:semiHidden/>
    <w:unhideWhenUsed/>
    <w:qFormat/>
    <w:uiPriority w:val="99"/>
    <w:pPr>
      <w:jc w:val="left"/>
    </w:pPr>
  </w:style>
  <w:style w:type="paragraph" w:styleId="12">
    <w:name w:val="Body Text Indent"/>
    <w:basedOn w:val="1"/>
    <w:link w:val="26"/>
    <w:qFormat/>
    <w:uiPriority w:val="0"/>
    <w:pPr>
      <w:spacing w:line="360" w:lineRule="auto"/>
      <w:ind w:firstLine="560" w:firstLineChars="200"/>
    </w:pPr>
    <w:rPr>
      <w:rFonts w:ascii="楷体_GB2312" w:eastAsia="楷体_GB2312"/>
      <w:bCs/>
      <w:iCs/>
      <w:sz w:val="28"/>
      <w:szCs w:val="28"/>
    </w:rPr>
  </w:style>
  <w:style w:type="paragraph" w:styleId="13">
    <w:name w:val="Balloon Text"/>
    <w:basedOn w:val="1"/>
    <w:link w:val="24"/>
    <w:semiHidden/>
    <w:unhideWhenUsed/>
    <w:qFormat/>
    <w:uiPriority w:val="99"/>
    <w:rPr>
      <w:sz w:val="18"/>
      <w:szCs w:val="18"/>
    </w:rPr>
  </w:style>
  <w:style w:type="paragraph" w:styleId="14">
    <w:name w:val="footer"/>
    <w:basedOn w:val="1"/>
    <w:link w:val="25"/>
    <w:qFormat/>
    <w:uiPriority w:val="99"/>
    <w:pPr>
      <w:tabs>
        <w:tab w:val="center" w:pos="4153"/>
        <w:tab w:val="right" w:pos="8306"/>
      </w:tabs>
      <w:snapToGrid w:val="0"/>
      <w:jc w:val="left"/>
    </w:pPr>
    <w:rPr>
      <w:sz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6">
    <w:name w:val="Normal (Web)"/>
    <w:basedOn w:val="1"/>
    <w:qFormat/>
    <w:uiPriority w:val="0"/>
    <w:pPr>
      <w:widowControl/>
      <w:spacing w:before="102" w:after="102" w:line="1099" w:lineRule="atLeast"/>
      <w:ind w:firstLine="419"/>
      <w:jc w:val="left"/>
      <w:textAlignment w:val="baseline"/>
    </w:pPr>
    <w:rPr>
      <w:color w:val="000000"/>
      <w:kern w:val="0"/>
      <w:sz w:val="24"/>
      <w:u w:color="000000"/>
    </w:rPr>
  </w:style>
  <w:style w:type="paragraph" w:styleId="17">
    <w:name w:val="annotation subject"/>
    <w:basedOn w:val="11"/>
    <w:next w:val="11"/>
    <w:link w:val="28"/>
    <w:semiHidden/>
    <w:unhideWhenUsed/>
    <w:qFormat/>
    <w:uiPriority w:val="99"/>
    <w:rPr>
      <w:b/>
      <w:bCs/>
    </w:rPr>
  </w:style>
  <w:style w:type="table" w:styleId="19">
    <w:name w:val="Table Grid"/>
    <w:basedOn w:val="18"/>
    <w:qFormat/>
    <w:uiPriority w:val="5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basedOn w:val="20"/>
    <w:unhideWhenUsed/>
    <w:qFormat/>
    <w:uiPriority w:val="99"/>
    <w:rPr>
      <w:color w:val="0000FF" w:themeColor="hyperlink"/>
      <w:u w:val="single"/>
    </w:rPr>
  </w:style>
  <w:style w:type="character" w:styleId="22">
    <w:name w:val="annotation reference"/>
    <w:basedOn w:val="20"/>
    <w:semiHidden/>
    <w:unhideWhenUsed/>
    <w:qFormat/>
    <w:uiPriority w:val="99"/>
    <w:rPr>
      <w:sz w:val="21"/>
      <w:szCs w:val="21"/>
    </w:rPr>
  </w:style>
  <w:style w:type="paragraph" w:customStyle="1" w:styleId="2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4">
    <w:name w:val="批注框文本 Char"/>
    <w:link w:val="13"/>
    <w:semiHidden/>
    <w:qFormat/>
    <w:uiPriority w:val="99"/>
    <w:rPr>
      <w:kern w:val="2"/>
      <w:sz w:val="18"/>
      <w:szCs w:val="18"/>
    </w:rPr>
  </w:style>
  <w:style w:type="character" w:customStyle="1" w:styleId="25">
    <w:name w:val="页脚 Char"/>
    <w:link w:val="14"/>
    <w:qFormat/>
    <w:uiPriority w:val="99"/>
    <w:rPr>
      <w:kern w:val="2"/>
      <w:sz w:val="18"/>
    </w:rPr>
  </w:style>
  <w:style w:type="character" w:customStyle="1" w:styleId="26">
    <w:name w:val="正文文本缩进 Char"/>
    <w:basedOn w:val="20"/>
    <w:link w:val="12"/>
    <w:qFormat/>
    <w:uiPriority w:val="0"/>
    <w:rPr>
      <w:rFonts w:ascii="楷体_GB2312" w:eastAsia="楷体_GB2312"/>
      <w:bCs/>
      <w:iCs/>
      <w:kern w:val="2"/>
      <w:sz w:val="28"/>
      <w:szCs w:val="28"/>
    </w:rPr>
  </w:style>
  <w:style w:type="character" w:customStyle="1" w:styleId="27">
    <w:name w:val="批注文字 Char"/>
    <w:basedOn w:val="20"/>
    <w:link w:val="11"/>
    <w:semiHidden/>
    <w:qFormat/>
    <w:uiPriority w:val="99"/>
    <w:rPr>
      <w:kern w:val="2"/>
      <w:sz w:val="21"/>
    </w:rPr>
  </w:style>
  <w:style w:type="character" w:customStyle="1" w:styleId="28">
    <w:name w:val="批注主题 Char"/>
    <w:basedOn w:val="27"/>
    <w:link w:val="17"/>
    <w:semiHidden/>
    <w:qFormat/>
    <w:uiPriority w:val="99"/>
    <w:rPr>
      <w:b/>
      <w:bCs/>
      <w:kern w:val="2"/>
      <w:sz w:val="21"/>
    </w:rPr>
  </w:style>
  <w:style w:type="character" w:customStyle="1" w:styleId="29">
    <w:name w:val="明显强调1"/>
    <w:basedOn w:val="20"/>
    <w:qFormat/>
    <w:uiPriority w:val="21"/>
    <w:rPr>
      <w:b/>
      <w:bCs/>
      <w:i/>
      <w:iCs/>
      <w:color w:val="4F81BD" w:themeColor="accent1"/>
    </w:rPr>
  </w:style>
  <w:style w:type="character" w:customStyle="1" w:styleId="30">
    <w:name w:val="标题 1 Char"/>
    <w:basedOn w:val="20"/>
    <w:link w:val="2"/>
    <w:qFormat/>
    <w:uiPriority w:val="0"/>
    <w:rPr>
      <w:rFonts w:ascii="Arial" w:hAnsi="Arial"/>
      <w:b/>
      <w:spacing w:val="-5"/>
      <w:sz w:val="40"/>
      <w:lang w:eastAsia="en-US"/>
    </w:rPr>
  </w:style>
  <w:style w:type="character" w:customStyle="1" w:styleId="31">
    <w:name w:val="标题 2 Char"/>
    <w:basedOn w:val="20"/>
    <w:link w:val="3"/>
    <w:qFormat/>
    <w:uiPriority w:val="0"/>
    <w:rPr>
      <w:rFonts w:ascii="Arial" w:hAnsi="Arial"/>
      <w:b/>
      <w:spacing w:val="-5"/>
      <w:sz w:val="32"/>
      <w:lang w:eastAsia="en-US"/>
    </w:rPr>
  </w:style>
  <w:style w:type="character" w:customStyle="1" w:styleId="32">
    <w:name w:val="标题 3 Char"/>
    <w:basedOn w:val="20"/>
    <w:link w:val="4"/>
    <w:qFormat/>
    <w:uiPriority w:val="0"/>
    <w:rPr>
      <w:rFonts w:ascii="Arial" w:hAnsi="Arial"/>
      <w:b/>
      <w:i/>
      <w:spacing w:val="-5"/>
      <w:sz w:val="24"/>
      <w:lang w:eastAsia="en-US"/>
    </w:rPr>
  </w:style>
  <w:style w:type="character" w:customStyle="1" w:styleId="33">
    <w:name w:val="标题 4 Char"/>
    <w:basedOn w:val="20"/>
    <w:link w:val="5"/>
    <w:qFormat/>
    <w:uiPriority w:val="0"/>
    <w:rPr>
      <w:b/>
      <w:i/>
      <w:spacing w:val="-5"/>
      <w:sz w:val="24"/>
      <w:lang w:eastAsia="en-US"/>
    </w:rPr>
  </w:style>
  <w:style w:type="character" w:customStyle="1" w:styleId="34">
    <w:name w:val="标题 5 Char"/>
    <w:basedOn w:val="20"/>
    <w:link w:val="6"/>
    <w:qFormat/>
    <w:uiPriority w:val="0"/>
    <w:rPr>
      <w:rFonts w:ascii="Arial" w:hAnsi="Arial"/>
      <w:spacing w:val="-5"/>
      <w:sz w:val="22"/>
      <w:lang w:eastAsia="en-US"/>
    </w:rPr>
  </w:style>
  <w:style w:type="character" w:customStyle="1" w:styleId="35">
    <w:name w:val="标题 6 Char"/>
    <w:basedOn w:val="20"/>
    <w:link w:val="7"/>
    <w:qFormat/>
    <w:uiPriority w:val="0"/>
    <w:rPr>
      <w:rFonts w:ascii="Arial" w:hAnsi="Arial"/>
      <w:i/>
      <w:spacing w:val="-5"/>
      <w:sz w:val="22"/>
      <w:lang w:eastAsia="en-US"/>
    </w:rPr>
  </w:style>
  <w:style w:type="character" w:customStyle="1" w:styleId="36">
    <w:name w:val="标题 7 Char"/>
    <w:basedOn w:val="20"/>
    <w:link w:val="8"/>
    <w:qFormat/>
    <w:uiPriority w:val="0"/>
    <w:rPr>
      <w:rFonts w:ascii="Arial" w:hAnsi="Arial"/>
      <w:spacing w:val="-5"/>
      <w:lang w:eastAsia="en-US"/>
    </w:rPr>
  </w:style>
  <w:style w:type="character" w:customStyle="1" w:styleId="37">
    <w:name w:val="标题 8 Char"/>
    <w:basedOn w:val="20"/>
    <w:link w:val="9"/>
    <w:qFormat/>
    <w:uiPriority w:val="0"/>
    <w:rPr>
      <w:rFonts w:ascii="Arial" w:hAnsi="Arial"/>
      <w:i/>
      <w:spacing w:val="-5"/>
      <w:lang w:eastAsia="en-US"/>
    </w:rPr>
  </w:style>
  <w:style w:type="character" w:customStyle="1" w:styleId="38">
    <w:name w:val="标题 9 Char"/>
    <w:basedOn w:val="20"/>
    <w:link w:val="10"/>
    <w:qFormat/>
    <w:uiPriority w:val="0"/>
    <w:rPr>
      <w:rFonts w:ascii="Arial" w:hAnsi="Arial"/>
      <w:i/>
      <w:spacing w:val="-5"/>
      <w:sz w:val="18"/>
      <w:lang w:eastAsia="en-US"/>
    </w:rPr>
  </w:style>
  <w:style w:type="paragraph" w:customStyle="1" w:styleId="39">
    <w:name w:val="reader-word-layer reader-word-s1-7"/>
    <w:basedOn w:val="1"/>
    <w:qFormat/>
    <w:uiPriority w:val="0"/>
    <w:pPr>
      <w:widowControl/>
      <w:spacing w:before="100" w:beforeAutospacing="1" w:after="100" w:afterAutospacing="1"/>
      <w:jc w:val="left"/>
    </w:pPr>
    <w:rPr>
      <w:rFonts w:ascii="宋体" w:hAnsi="宋体" w:cs="宋体"/>
      <w:kern w:val="0"/>
      <w:sz w:val="24"/>
      <w:szCs w:val="24"/>
    </w:rPr>
  </w:style>
  <w:style w:type="paragraph" w:styleId="4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3AFCE3B-AE09-45B3-A954-5607DB25D789}">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6</Pages>
  <Words>994</Words>
  <Characters>5668</Characters>
  <Lines>47</Lines>
  <Paragraphs>13</Paragraphs>
  <TotalTime>0</TotalTime>
  <ScaleCrop>false</ScaleCrop>
  <LinksUpToDate>false</LinksUpToDate>
  <CharactersWithSpaces>6649</CharactersWithSpaces>
  <Application>WPS Office_11.1.0.9926_F1E327BC-269C-435d-A152-05C5408002CA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2016-11-21T08:52:00Z</dcterms:created>
  <dc:creator>徐鋆</dc:creator>
  <cp:lastModifiedBy>oldsha</cp:lastModifiedBy>
  <cp:lastPrinted>2016-01-29T05:37:00Z</cp:lastPrinted>
  <dcterms:modified xsi:type="dcterms:W3CDTF">2020-09-09T06:06:16Z</dcterms:modified>
  <cp:revision>136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2052-11.1.0.9926</vt:lpwstr>
  </property>
</Properties>
</file>