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420"/>
        </w:tabs>
        <w:adjustRightInd w:val="0"/>
        <w:snapToGrid w:val="0"/>
        <w:spacing w:line="520" w:lineRule="exact"/>
        <w:rPr>
          <w:rFonts w:ascii="华文中宋" w:hAnsi="华文中宋" w:eastAsia="华文中宋"/>
          <w:b/>
          <w:sz w:val="44"/>
          <w:szCs w:val="44"/>
        </w:rPr>
      </w:pPr>
    </w:p>
    <w:p>
      <w:pPr>
        <w:spacing w:line="560" w:lineRule="exact"/>
        <w:contextualSpacing/>
        <w:jc w:val="center"/>
        <w:rPr>
          <w:rFonts w:hint="eastAsia" w:ascii="华文中宋" w:hAnsi="华文中宋" w:eastAsia="华文中宋"/>
          <w:b/>
          <w:sz w:val="44"/>
          <w:szCs w:val="44"/>
        </w:rPr>
      </w:pPr>
    </w:p>
    <w:p>
      <w:pPr>
        <w:spacing w:line="560" w:lineRule="exact"/>
        <w:contextualSpacing/>
        <w:jc w:val="center"/>
        <w:rPr>
          <w:rFonts w:hint="eastAsia" w:ascii="华文中宋" w:hAnsi="华文中宋" w:eastAsia="华文中宋"/>
          <w:b/>
          <w:sz w:val="44"/>
          <w:szCs w:val="44"/>
        </w:rPr>
      </w:pPr>
    </w:p>
    <w:p>
      <w:pPr>
        <w:spacing w:line="560" w:lineRule="exact"/>
        <w:contextualSpacing/>
        <w:jc w:val="center"/>
        <w:rPr>
          <w:rFonts w:hint="eastAsia" w:ascii="华文中宋" w:hAnsi="华文中宋" w:eastAsia="华文中宋"/>
          <w:b/>
          <w:sz w:val="44"/>
          <w:szCs w:val="44"/>
        </w:rPr>
      </w:pPr>
    </w:p>
    <w:p>
      <w:pPr>
        <w:spacing w:line="560" w:lineRule="exact"/>
        <w:contextualSpacing/>
        <w:jc w:val="center"/>
        <w:rPr>
          <w:rFonts w:hint="eastAsia" w:ascii="华文中宋" w:hAnsi="华文中宋" w:eastAsia="华文中宋"/>
          <w:b/>
          <w:sz w:val="44"/>
          <w:szCs w:val="44"/>
        </w:rPr>
      </w:pPr>
    </w:p>
    <w:p>
      <w:pPr>
        <w:spacing w:line="560" w:lineRule="exact"/>
        <w:contextualSpacing/>
        <w:jc w:val="center"/>
        <w:rPr>
          <w:rFonts w:hint="eastAsia" w:ascii="华文中宋" w:hAnsi="华文中宋" w:eastAsia="华文中宋"/>
          <w:b/>
          <w:sz w:val="44"/>
          <w:szCs w:val="44"/>
        </w:rPr>
      </w:pPr>
    </w:p>
    <w:p>
      <w:pPr>
        <w:spacing w:line="560" w:lineRule="exact"/>
        <w:contextualSpacing/>
        <w:jc w:val="center"/>
        <w:rPr>
          <w:rFonts w:ascii="华文中宋" w:hAnsi="华文中宋" w:eastAsia="华文中宋"/>
          <w:b/>
          <w:sz w:val="44"/>
          <w:szCs w:val="44"/>
        </w:rPr>
      </w:pPr>
      <w:r>
        <w:rPr>
          <w:rFonts w:hint="eastAsia" w:ascii="华文中宋" w:hAnsi="华文中宋" w:eastAsia="华文中宋"/>
          <w:b/>
          <w:sz w:val="44"/>
          <w:szCs w:val="44"/>
        </w:rPr>
        <w:t>江苏扬中农村商业银行股份有限公司</w:t>
      </w:r>
    </w:p>
    <w:p>
      <w:pPr>
        <w:spacing w:line="560" w:lineRule="exact"/>
        <w:contextualSpacing/>
        <w:jc w:val="center"/>
        <w:rPr>
          <w:rFonts w:hint="eastAsia" w:ascii="仿宋_GB2312" w:hAnsi="华文中宋" w:eastAsia="仿宋_GB2312"/>
          <w:sz w:val="30"/>
          <w:szCs w:val="30"/>
          <w:lang w:eastAsia="zh-CN"/>
        </w:rPr>
      </w:pPr>
      <w:r>
        <w:rPr>
          <w:rFonts w:hint="eastAsia" w:ascii="华文中宋" w:hAnsi="华文中宋" w:eastAsia="华文中宋"/>
          <w:b/>
          <w:sz w:val="44"/>
          <w:szCs w:val="44"/>
          <w:lang w:eastAsia="zh-CN"/>
        </w:rPr>
        <w:t>2024</w:t>
      </w:r>
      <w:r>
        <w:rPr>
          <w:rFonts w:hint="eastAsia" w:ascii="华文中宋" w:hAnsi="华文中宋" w:eastAsia="华文中宋"/>
          <w:b/>
          <w:sz w:val="44"/>
          <w:szCs w:val="44"/>
        </w:rPr>
        <w:t>年度社会责任报告</w:t>
      </w: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contextualSpacing/>
        <w:jc w:val="center"/>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二零二五年三月三十一日</w:t>
      </w:r>
    </w:p>
    <w:p>
      <w:pPr>
        <w:spacing w:line="480" w:lineRule="exact"/>
        <w:ind w:firstLine="644" w:firstLineChars="200"/>
        <w:contextualSpacing/>
        <w:jc w:val="left"/>
        <w:rPr>
          <w:rFonts w:hint="eastAsia" w:ascii="仿宋_GB2312" w:hAnsi="华文中宋" w:eastAsia="仿宋_GB2312"/>
          <w:sz w:val="30"/>
          <w:szCs w:val="30"/>
          <w:lang w:eastAsia="zh-CN"/>
        </w:rPr>
      </w:pPr>
    </w:p>
    <w:p>
      <w:pPr>
        <w:rPr>
          <w:rFonts w:hint="eastAsia" w:ascii="仿宋_GB2312" w:hAnsi="华文中宋" w:eastAsia="仿宋_GB2312"/>
          <w:sz w:val="30"/>
          <w:szCs w:val="30"/>
          <w:lang w:eastAsia="zh-CN"/>
        </w:rPr>
      </w:pPr>
      <w:r>
        <w:rPr>
          <w:rFonts w:hint="eastAsia" w:ascii="仿宋_GB2312" w:hAnsi="华文中宋" w:eastAsia="仿宋_GB2312"/>
          <w:sz w:val="30"/>
          <w:szCs w:val="30"/>
          <w:lang w:eastAsia="zh-CN"/>
        </w:rPr>
        <w:br w:type="page"/>
      </w:r>
    </w:p>
    <w:p>
      <w:pPr>
        <w:spacing w:line="480" w:lineRule="exact"/>
        <w:ind w:firstLine="644" w:firstLineChars="200"/>
        <w:contextualSpacing/>
        <w:jc w:val="left"/>
        <w:rPr>
          <w:rFonts w:ascii="仿宋_GB2312" w:hAnsi="华文中宋" w:eastAsia="仿宋_GB2312"/>
          <w:sz w:val="30"/>
          <w:szCs w:val="30"/>
        </w:rPr>
      </w:pPr>
      <w:r>
        <w:rPr>
          <w:rFonts w:hint="eastAsia" w:ascii="仿宋_GB2312" w:hAnsi="华文中宋" w:eastAsia="仿宋_GB2312"/>
          <w:sz w:val="30"/>
          <w:szCs w:val="30"/>
          <w:lang w:eastAsia="zh-CN"/>
        </w:rPr>
        <w:t>2024</w:t>
      </w:r>
      <w:r>
        <w:rPr>
          <w:rFonts w:hint="eastAsia" w:ascii="仿宋_GB2312" w:hAnsi="华文中宋" w:eastAsia="仿宋_GB2312"/>
          <w:sz w:val="30"/>
          <w:szCs w:val="30"/>
        </w:rPr>
        <w:t>年，扬中农商银行以“充分发挥金融优势，积极践行经济、社会和环境三方面的责任，最大限度地创造经济、社会和环境的综合价值”为目标，贯彻社会责任核心理念，培育优良的社会责任观，将企业社会责任融入经营管理实践，建设有效的利益相关方参与机制，主动承担经济、社会、环境责任，促进自身利益和利益相关方共同可持续发展。现将扬中农商银行</w:t>
      </w:r>
      <w:r>
        <w:rPr>
          <w:rFonts w:hint="eastAsia" w:ascii="仿宋_GB2312" w:hAnsi="华文中宋" w:eastAsia="仿宋_GB2312"/>
          <w:sz w:val="30"/>
          <w:szCs w:val="30"/>
          <w:lang w:eastAsia="zh-CN"/>
        </w:rPr>
        <w:t>2024</w:t>
      </w:r>
      <w:r>
        <w:rPr>
          <w:rFonts w:hint="eastAsia" w:ascii="仿宋_GB2312" w:hAnsi="华文中宋" w:eastAsia="仿宋_GB2312"/>
          <w:sz w:val="30"/>
          <w:szCs w:val="30"/>
        </w:rPr>
        <w:t>年度社会责任报告如下。</w:t>
      </w:r>
    </w:p>
    <w:p>
      <w:pPr>
        <w:spacing w:line="480" w:lineRule="exact"/>
        <w:ind w:firstLine="644" w:firstLineChars="200"/>
        <w:contextualSpacing/>
        <w:jc w:val="left"/>
        <w:rPr>
          <w:rFonts w:ascii="仿宋_GB2312" w:hAnsi="华文中宋" w:eastAsia="仿宋_GB2312"/>
          <w:sz w:val="30"/>
          <w:szCs w:val="30"/>
        </w:rPr>
      </w:pPr>
    </w:p>
    <w:p>
      <w:pPr>
        <w:spacing w:line="480" w:lineRule="exact"/>
        <w:ind w:firstLine="644" w:firstLineChars="200"/>
        <w:contextualSpacing/>
        <w:jc w:val="left"/>
        <w:rPr>
          <w:rFonts w:ascii="黑体" w:eastAsia="黑体" w:cs="黑体"/>
          <w:kern w:val="0"/>
          <w:sz w:val="30"/>
          <w:szCs w:val="30"/>
        </w:rPr>
      </w:pPr>
      <w:r>
        <w:rPr>
          <w:rFonts w:hint="eastAsia" w:ascii="仿宋_GB2312" w:hAnsi="华文中宋" w:eastAsia="仿宋_GB2312"/>
          <w:sz w:val="30"/>
          <w:szCs w:val="30"/>
        </w:rPr>
        <w:t>附件：江苏扬中农村商业银行股份有限公司</w:t>
      </w:r>
      <w:r>
        <w:rPr>
          <w:rFonts w:hint="eastAsia" w:ascii="仿宋_GB2312" w:hAnsi="华文中宋" w:eastAsia="仿宋_GB2312"/>
          <w:sz w:val="30"/>
          <w:szCs w:val="30"/>
          <w:lang w:eastAsia="zh-CN"/>
        </w:rPr>
        <w:t>2024</w:t>
      </w:r>
      <w:r>
        <w:rPr>
          <w:rFonts w:hint="eastAsia" w:ascii="仿宋_GB2312" w:hAnsi="华文中宋" w:eastAsia="仿宋_GB2312"/>
          <w:sz w:val="30"/>
          <w:szCs w:val="30"/>
        </w:rPr>
        <w:t>年度社会责任报告</w:t>
      </w:r>
    </w:p>
    <w:p>
      <w:pPr>
        <w:autoSpaceDE w:val="0"/>
        <w:autoSpaceDN w:val="0"/>
        <w:spacing w:line="480" w:lineRule="exact"/>
        <w:ind w:firstLine="644" w:firstLineChars="200"/>
        <w:contextualSpacing/>
        <w:jc w:val="left"/>
        <w:rPr>
          <w:rFonts w:ascii="黑体" w:eastAsia="黑体" w:cs="黑体"/>
          <w:kern w:val="0"/>
          <w:sz w:val="30"/>
          <w:szCs w:val="30"/>
        </w:rPr>
      </w:pPr>
      <w:r>
        <w:rPr>
          <w:rFonts w:hint="eastAsia" w:ascii="黑体" w:eastAsia="黑体" w:cs="黑体"/>
          <w:kern w:val="0"/>
          <w:sz w:val="30"/>
          <w:szCs w:val="30"/>
        </w:rPr>
        <w:t>一、关于我们</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（一）基本情况简介</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1.公司中文名称：江苏扬中农村商业银行股份有限公司</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（中文简称）：扬中农商银行</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公司英文名称：JIANGSU YANGZHONG RURAL COMMERCIAL BANK CO., LTD</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（英文简称）：YZRCB</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2.成立时间：2012年2月7日</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3.法定代表人：姜丰平</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3.董事会秘书：田朝阳</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电话（传真）：0511-88212395</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4.注册地址：江苏省扬中市扬子西路79号</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办公地址：江苏省扬中市扬子西路79号</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邮政编码：212200</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公司网址：</w:t>
      </w:r>
      <w:r>
        <w:fldChar w:fldCharType="begin"/>
      </w:r>
      <w:r>
        <w:instrText xml:space="preserve"> HYPERLINK "http://www.yzrcb.net" </w:instrText>
      </w:r>
      <w:r>
        <w:fldChar w:fldCharType="separate"/>
      </w:r>
      <w:r>
        <w:rPr>
          <w:rFonts w:hint="eastAsia" w:ascii="仿宋_GB2312" w:eastAsia="仿宋_GB2312" w:cs="仿宋_GB2312"/>
          <w:kern w:val="0"/>
          <w:sz w:val="30"/>
          <w:szCs w:val="30"/>
        </w:rPr>
        <w:t>http://www.yzrcb.net</w:t>
      </w:r>
      <w:r>
        <w:rPr>
          <w:rFonts w:hint="eastAsia" w:ascii="仿宋_GB2312" w:eastAsia="仿宋_GB2312" w:cs="仿宋_GB2312"/>
          <w:kern w:val="0"/>
          <w:sz w:val="30"/>
          <w:szCs w:val="30"/>
        </w:rPr>
        <w:fldChar w:fldCharType="end"/>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（二）社会责任理念</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1.责任理念</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企业愿景：</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成为扬中人民的首选银行</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企业使命：</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惠农兴商、扬帆远航</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核心价值观：</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敬业、务实、合作、创新</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企业精神：</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乐于奉献、勇于争先</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服务理念：</w:t>
      </w:r>
    </w:p>
    <w:p>
      <w:pPr>
        <w:autoSpaceDE w:val="0"/>
        <w:autoSpaceDN w:val="0"/>
        <w:spacing w:line="480" w:lineRule="exact"/>
        <w:ind w:firstLine="644" w:firstLineChars="200"/>
        <w:contextualSpacing/>
        <w:jc w:val="left"/>
        <w:rPr>
          <w:rFonts w:ascii="仿宋_GB2312" w:eastAsia="仿宋_GB2312" w:cs="仿宋_GB2312"/>
          <w:kern w:val="0"/>
          <w:sz w:val="30"/>
          <w:szCs w:val="30"/>
        </w:rPr>
      </w:pPr>
      <w:r>
        <w:rPr>
          <w:rFonts w:hint="eastAsia" w:ascii="仿宋_GB2312" w:eastAsia="仿宋_GB2312" w:cs="仿宋_GB2312"/>
          <w:kern w:val="0"/>
          <w:sz w:val="30"/>
          <w:szCs w:val="30"/>
        </w:rPr>
        <w:t>阳光微笑、衷心为您</w:t>
      </w:r>
    </w:p>
    <w:p>
      <w:pPr>
        <w:autoSpaceDE w:val="0"/>
        <w:autoSpaceDN w:val="0"/>
        <w:spacing w:line="480" w:lineRule="exact"/>
        <w:ind w:firstLine="644" w:firstLineChars="200"/>
        <w:contextualSpacing/>
        <w:jc w:val="left"/>
        <w:rPr>
          <w:rFonts w:ascii="仿宋_GB2312" w:eastAsia="仿宋_GB2312" w:cs="仿宋_GB2312"/>
          <w:b/>
          <w:kern w:val="0"/>
          <w:sz w:val="30"/>
          <w:szCs w:val="30"/>
        </w:rPr>
      </w:pPr>
      <w:r>
        <w:rPr>
          <w:rFonts w:hint="eastAsia" w:ascii="仿宋_GB2312" w:eastAsia="仿宋_GB2312" w:cs="仿宋_GB2312"/>
          <w:b/>
          <w:kern w:val="0"/>
          <w:sz w:val="30"/>
          <w:szCs w:val="30"/>
        </w:rPr>
        <w:t>2.利益相关方认定</w:t>
      </w:r>
    </w:p>
    <w:tbl>
      <w:tblPr>
        <w:tblStyle w:val="9"/>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68"/>
        <w:gridCol w:w="3685"/>
        <w:gridCol w:w="370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pPr>
              <w:pStyle w:val="13"/>
              <w:spacing w:line="240" w:lineRule="atLeast"/>
              <w:jc w:val="center"/>
              <w:rPr>
                <w:rFonts w:ascii="黑体" w:hAnsi="黑体" w:eastAsia="黑体"/>
                <w:color w:val="auto"/>
                <w:kern w:val="2"/>
                <w:sz w:val="18"/>
                <w:szCs w:val="18"/>
              </w:rPr>
            </w:pPr>
            <w:r>
              <w:rPr>
                <w:rFonts w:hint="eastAsia" w:ascii="黑体" w:hAnsi="黑体" w:eastAsia="黑体" w:cs="仿宋_GB2312"/>
                <w:color w:val="auto"/>
                <w:sz w:val="18"/>
                <w:szCs w:val="18"/>
              </w:rPr>
              <w:t>利益相关方</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pPr>
              <w:autoSpaceDE w:val="0"/>
              <w:autoSpaceDN w:val="0"/>
              <w:adjustRightInd w:val="0"/>
              <w:spacing w:line="240" w:lineRule="atLeast"/>
              <w:jc w:val="center"/>
              <w:rPr>
                <w:rFonts w:ascii="黑体" w:hAnsi="黑体" w:eastAsia="黑体" w:cs="仿宋_GB2312"/>
                <w:kern w:val="0"/>
                <w:sz w:val="18"/>
                <w:szCs w:val="18"/>
              </w:rPr>
            </w:pPr>
            <w:r>
              <w:rPr>
                <w:rFonts w:hint="eastAsia" w:ascii="黑体" w:hAnsi="黑体" w:eastAsia="黑体" w:cs="仿宋_GB2312"/>
                <w:kern w:val="0"/>
                <w:sz w:val="18"/>
                <w:szCs w:val="18"/>
              </w:rPr>
              <w:t>关注的议题</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pPr>
              <w:autoSpaceDE w:val="0"/>
              <w:autoSpaceDN w:val="0"/>
              <w:adjustRightInd w:val="0"/>
              <w:spacing w:line="240" w:lineRule="atLeast"/>
              <w:jc w:val="center"/>
              <w:rPr>
                <w:rFonts w:ascii="黑体" w:hAnsi="黑体" w:eastAsia="黑体" w:cs="仿宋_GB2312"/>
                <w:kern w:val="0"/>
                <w:sz w:val="18"/>
                <w:szCs w:val="18"/>
              </w:rPr>
            </w:pPr>
            <w:r>
              <w:rPr>
                <w:rFonts w:hint="eastAsia" w:ascii="黑体" w:hAnsi="黑体" w:eastAsia="黑体" w:cs="仿宋_GB2312"/>
                <w:kern w:val="0"/>
                <w:sz w:val="18"/>
                <w:szCs w:val="18"/>
              </w:rPr>
              <w:t>回应措施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autoSpaceDE w:val="0"/>
              <w:autoSpaceDN w:val="0"/>
              <w:adjustRightInd w:val="0"/>
              <w:spacing w:line="240" w:lineRule="atLeast"/>
              <w:jc w:val="center"/>
              <w:rPr>
                <w:rFonts w:ascii="仿宋_GB2312" w:eastAsia="仿宋_GB2312" w:cs="仿宋_GB2312"/>
                <w:kern w:val="0"/>
                <w:sz w:val="18"/>
                <w:szCs w:val="18"/>
              </w:rPr>
            </w:pPr>
            <w:r>
              <w:rPr>
                <w:rFonts w:hint="eastAsia" w:ascii="仿宋_GB2312" w:eastAsia="仿宋_GB2312" w:cs="仿宋_GB2312"/>
                <w:kern w:val="0"/>
                <w:sz w:val="18"/>
                <w:szCs w:val="18"/>
              </w:rPr>
              <w:t>政府</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响应国家宏观政策</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坚持健康可持续发展</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关注社会民生</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坚守本源，坚持服务实体经济</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助力三农、小微企业、民营企业和新兴产业发展</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提升经营管理绩效</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深化普惠金融服务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92" w:hRule="atLeast"/>
        </w:trPr>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autoSpaceDE w:val="0"/>
              <w:autoSpaceDN w:val="0"/>
              <w:adjustRightInd w:val="0"/>
              <w:spacing w:line="240" w:lineRule="atLeast"/>
              <w:jc w:val="center"/>
              <w:rPr>
                <w:rFonts w:ascii="仿宋_GB2312" w:eastAsia="仿宋_GB2312" w:cs="仿宋_GB2312"/>
                <w:kern w:val="0"/>
                <w:sz w:val="18"/>
                <w:szCs w:val="18"/>
              </w:rPr>
            </w:pPr>
            <w:r>
              <w:rPr>
                <w:rFonts w:hint="eastAsia" w:ascii="仿宋_GB2312" w:eastAsia="仿宋_GB2312" w:cs="仿宋_GB2312"/>
                <w:kern w:val="0"/>
                <w:sz w:val="18"/>
                <w:szCs w:val="18"/>
              </w:rPr>
              <w:t>监管机构</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落实监管政策</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合规经营，公平竞争</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防范风险，维护金融稳定</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构建完善的公司治理体系</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完善合规内控管理体系</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实施全面风险管理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autoSpaceDE w:val="0"/>
              <w:autoSpaceDN w:val="0"/>
              <w:adjustRightInd w:val="0"/>
              <w:spacing w:line="240" w:lineRule="atLeast"/>
              <w:jc w:val="center"/>
              <w:rPr>
                <w:rFonts w:ascii="仿宋_GB2312" w:eastAsia="仿宋_GB2312" w:cs="仿宋_GB2312"/>
                <w:kern w:val="0"/>
                <w:sz w:val="18"/>
                <w:szCs w:val="18"/>
              </w:rPr>
            </w:pPr>
            <w:r>
              <w:rPr>
                <w:rFonts w:hint="eastAsia" w:ascii="仿宋_GB2312" w:eastAsia="仿宋_GB2312" w:cs="仿宋_GB2312"/>
                <w:kern w:val="0"/>
                <w:sz w:val="18"/>
                <w:szCs w:val="18"/>
              </w:rPr>
              <w:t>股东</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规范公司治理</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提高股东回报</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提升盈利能力</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提升公司价值</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制定和落实发展战略</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完善公司治理</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加强风险防控</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推进社会责任管理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autoSpaceDE w:val="0"/>
              <w:autoSpaceDN w:val="0"/>
              <w:adjustRightInd w:val="0"/>
              <w:spacing w:line="240" w:lineRule="atLeast"/>
              <w:jc w:val="center"/>
              <w:rPr>
                <w:rFonts w:ascii="仿宋_GB2312" w:eastAsia="仿宋_GB2312" w:cs="仿宋_GB2312"/>
                <w:kern w:val="0"/>
                <w:sz w:val="18"/>
                <w:szCs w:val="18"/>
              </w:rPr>
            </w:pPr>
            <w:r>
              <w:rPr>
                <w:rFonts w:hint="eastAsia" w:ascii="仿宋_GB2312" w:eastAsia="仿宋_GB2312" w:cs="仿宋_GB2312"/>
                <w:kern w:val="0"/>
                <w:sz w:val="18"/>
                <w:szCs w:val="18"/>
              </w:rPr>
              <w:t>客户</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提供优质的金融服务</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提供优质的金融产品</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保障信息安全</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提供方便、快捷的金融服务</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提供多元化的金融产品</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保持资费透明，满足客户需求</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加强客户体验，保障客户权益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23" w:hRule="atLeast"/>
        </w:trPr>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autoSpaceDE w:val="0"/>
              <w:autoSpaceDN w:val="0"/>
              <w:adjustRightInd w:val="0"/>
              <w:spacing w:line="240" w:lineRule="atLeast"/>
              <w:jc w:val="center"/>
              <w:rPr>
                <w:rFonts w:ascii="仿宋_GB2312" w:eastAsia="仿宋_GB2312" w:cs="仿宋_GB2312"/>
                <w:kern w:val="0"/>
                <w:sz w:val="18"/>
                <w:szCs w:val="18"/>
              </w:rPr>
            </w:pPr>
            <w:r>
              <w:rPr>
                <w:rFonts w:hint="eastAsia" w:ascii="仿宋_GB2312" w:eastAsia="仿宋_GB2312" w:cs="仿宋_GB2312"/>
                <w:kern w:val="0"/>
                <w:sz w:val="18"/>
                <w:szCs w:val="18"/>
              </w:rPr>
              <w:t>员工</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保证合理的待遇和福利</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提供良好的工作环境</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建立顺畅的沟通机制</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提供良好的平台和成长机会</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提供完善的薪酬与权益保障体系</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保障员工基本权益</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提供岗位技能培训</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构建科学用人机制</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增进员工身心关怀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78" w:hRule="atLeast"/>
        </w:trPr>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autoSpaceDE w:val="0"/>
              <w:autoSpaceDN w:val="0"/>
              <w:adjustRightInd w:val="0"/>
              <w:spacing w:line="240" w:lineRule="atLeast"/>
              <w:jc w:val="center"/>
              <w:rPr>
                <w:rFonts w:ascii="仿宋_GB2312" w:eastAsia="仿宋_GB2312" w:cs="仿宋_GB2312"/>
                <w:kern w:val="0"/>
                <w:sz w:val="18"/>
                <w:szCs w:val="18"/>
              </w:rPr>
            </w:pPr>
            <w:r>
              <w:rPr>
                <w:rFonts w:hint="eastAsia" w:ascii="仿宋_GB2312" w:eastAsia="仿宋_GB2312" w:cs="仿宋_GB2312"/>
                <w:kern w:val="0"/>
                <w:sz w:val="18"/>
                <w:szCs w:val="18"/>
              </w:rPr>
              <w:t>公众</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关心弱势群体</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开展慈善公益活动</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普及金融知识</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加大社会捐赠力度，持续实施扶贫项目</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组织开展金融普及教育活动开展志愿者服务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19" w:hRule="atLeast"/>
        </w:trPr>
        <w:tc>
          <w:tcPr>
            <w:tcW w:w="1668"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autoSpaceDE w:val="0"/>
              <w:autoSpaceDN w:val="0"/>
              <w:adjustRightInd w:val="0"/>
              <w:spacing w:line="240" w:lineRule="atLeast"/>
              <w:jc w:val="center"/>
              <w:rPr>
                <w:rFonts w:ascii="仿宋_GB2312" w:eastAsia="仿宋_GB2312" w:cs="仿宋_GB2312"/>
                <w:kern w:val="0"/>
                <w:sz w:val="18"/>
                <w:szCs w:val="18"/>
              </w:rPr>
            </w:pPr>
            <w:r>
              <w:rPr>
                <w:rFonts w:hint="eastAsia" w:ascii="仿宋_GB2312" w:eastAsia="仿宋_GB2312" w:cs="仿宋_GB2312"/>
                <w:kern w:val="0"/>
                <w:sz w:val="18"/>
                <w:szCs w:val="18"/>
              </w:rPr>
              <w:t>环境</w:t>
            </w:r>
          </w:p>
        </w:tc>
        <w:tc>
          <w:tcPr>
            <w:tcW w:w="3685"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节约资源</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支持低碳节能，实现环境优化</w:t>
            </w:r>
          </w:p>
        </w:tc>
        <w:tc>
          <w:tcPr>
            <w:tcW w:w="3707"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加大绿色信贷投放</w:t>
            </w:r>
          </w:p>
          <w:p>
            <w:pPr>
              <w:pStyle w:val="13"/>
              <w:spacing w:line="240" w:lineRule="atLeast"/>
              <w:jc w:val="both"/>
              <w:rPr>
                <w:rFonts w:ascii="仿宋_GB2312" w:eastAsia="仿宋_GB2312" w:cs="仿宋_GB2312"/>
                <w:color w:val="auto"/>
                <w:sz w:val="18"/>
                <w:szCs w:val="18"/>
              </w:rPr>
            </w:pPr>
            <w:r>
              <w:rPr>
                <w:rFonts w:hint="eastAsia" w:ascii="仿宋_GB2312" w:eastAsia="仿宋_GB2312" w:cs="仿宋_GB2312"/>
                <w:color w:val="auto"/>
                <w:sz w:val="18"/>
                <w:szCs w:val="18"/>
              </w:rPr>
              <w:t>推广电子银行业务，拓展绿色渠道</w:t>
            </w:r>
          </w:p>
          <w:p>
            <w:pPr>
              <w:pStyle w:val="13"/>
              <w:spacing w:line="240" w:lineRule="atLeast"/>
              <w:jc w:val="both"/>
              <w:rPr>
                <w:rFonts w:ascii="仿宋_GB2312" w:eastAsia="仿宋_GB2312" w:cs="仿宋_GB2312"/>
                <w:color w:val="auto"/>
                <w:kern w:val="2"/>
                <w:sz w:val="18"/>
                <w:szCs w:val="18"/>
              </w:rPr>
            </w:pPr>
            <w:r>
              <w:rPr>
                <w:rFonts w:hint="eastAsia" w:ascii="仿宋_GB2312" w:eastAsia="仿宋_GB2312" w:cs="仿宋_GB2312"/>
                <w:color w:val="auto"/>
                <w:sz w:val="18"/>
                <w:szCs w:val="18"/>
              </w:rPr>
              <w:t>持续推进绿色办公，助推节能减排</w:t>
            </w:r>
          </w:p>
        </w:tc>
      </w:tr>
    </w:tbl>
    <w:p>
      <w:pPr>
        <w:autoSpaceDE w:val="0"/>
        <w:autoSpaceDN w:val="0"/>
        <w:adjustRightInd w:val="0"/>
        <w:jc w:val="left"/>
        <w:rPr>
          <w:rFonts w:ascii="仿宋_GB2312" w:eastAsia="仿宋_GB2312" w:cs="仿宋_GB2312"/>
          <w:b/>
          <w:kern w:val="0"/>
          <w:sz w:val="30"/>
          <w:szCs w:val="30"/>
        </w:rPr>
      </w:pPr>
      <w:r>
        <w:rPr>
          <w:rFonts w:hint="eastAsia" w:ascii="仿宋_GB2312" w:eastAsia="仿宋_GB2312" w:cs="仿宋_GB2312"/>
          <w:b/>
          <w:kern w:val="0"/>
          <w:sz w:val="30"/>
          <w:szCs w:val="30"/>
        </w:rPr>
        <w:t>（三）获得荣誉</w:t>
      </w:r>
    </w:p>
    <w:tbl>
      <w:tblPr>
        <w:tblStyle w:val="8"/>
        <w:tblW w:w="8955" w:type="dxa"/>
        <w:tblInd w:w="91" w:type="dxa"/>
        <w:tblLayout w:type="fixed"/>
        <w:tblCellMar>
          <w:top w:w="0" w:type="dxa"/>
          <w:left w:w="108" w:type="dxa"/>
          <w:bottom w:w="0" w:type="dxa"/>
          <w:right w:w="108" w:type="dxa"/>
        </w:tblCellMar>
      </w:tblPr>
      <w:tblGrid>
        <w:gridCol w:w="726"/>
        <w:gridCol w:w="2126"/>
        <w:gridCol w:w="4820"/>
        <w:gridCol w:w="1283"/>
      </w:tblGrid>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序号</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颁奖单位</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内容</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获奖</w:t>
            </w:r>
          </w:p>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时间</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bidi="ar-SA"/>
              </w:rPr>
            </w:pPr>
            <w:r>
              <w:rPr>
                <w:rFonts w:hint="eastAsia" w:ascii="仿宋_GB2312" w:hAnsi="仿宋_GB2312" w:eastAsia="仿宋_GB2312" w:cs="仿宋_GB2312"/>
                <w:sz w:val="18"/>
                <w:szCs w:val="18"/>
              </w:rPr>
              <w:t>镇江银行业协会</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b/>
                <w:kern w:val="0"/>
                <w:sz w:val="18"/>
                <w:szCs w:val="18"/>
                <w:highlight w:val="yellow"/>
                <w:lang w:val="en-US" w:eastAsia="zh-CN" w:bidi="ar-SA"/>
              </w:rPr>
            </w:pPr>
            <w:r>
              <w:rPr>
                <w:rFonts w:hint="eastAsia" w:ascii="仿宋_GB2312" w:hAnsi="仿宋_GB2312" w:eastAsia="仿宋_GB2312" w:cs="仿宋_GB2312"/>
                <w:sz w:val="18"/>
                <w:szCs w:val="18"/>
              </w:rPr>
              <w:t>202</w:t>
            </w:r>
            <w:r>
              <w:rPr>
                <w:rFonts w:hint="eastAsia" w:ascii="仿宋_GB2312" w:hAnsi="仿宋_GB2312" w:eastAsia="仿宋_GB2312" w:cs="仿宋_GB2312"/>
                <w:sz w:val="18"/>
                <w:szCs w:val="18"/>
                <w:lang w:val="en-US" w:eastAsia="zh-CN"/>
              </w:rPr>
              <w:t>3</w:t>
            </w:r>
            <w:r>
              <w:rPr>
                <w:rFonts w:hint="eastAsia" w:ascii="仿宋_GB2312" w:hAnsi="仿宋_GB2312" w:eastAsia="仿宋_GB2312" w:cs="仿宋_GB2312"/>
                <w:sz w:val="18"/>
                <w:szCs w:val="18"/>
              </w:rPr>
              <w:t>年度镇江银行业信息宣传工作先进单位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bidi="ar-SA"/>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.1</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2</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val="en-US" w:eastAsia="zh-CN"/>
              </w:rPr>
              <w:t>人行镇江市分行</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2023年度镇江市金融统计知识竞赛单位奖项三等奖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.1</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3</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lang w:val="en-US" w:eastAsia="zh-CN"/>
              </w:rPr>
              <w:t>人行镇江市分行</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2023年镇江市账户风险防控知识竞赛单位奖二等奖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.1</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4</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val="en-US" w:eastAsia="zh-CN"/>
              </w:rPr>
              <w:t>扬中市金融稳定工作协调小组</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2023年度扬中市金融系统综合考核一等奖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2</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5</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b w:val="0"/>
                <w:bCs/>
                <w:kern w:val="0"/>
                <w:sz w:val="18"/>
                <w:szCs w:val="18"/>
                <w:highlight w:val="none"/>
                <w:lang w:val="en-US" w:eastAsia="zh-CN"/>
              </w:rPr>
              <w:t>镇江市住房公积金管理中心扬中分中心</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2023年度扬中市住房公积金管理工作示范单位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2</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6</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扬中市委市政府</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2023年度扬中市十强现代服务业企业</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2</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7</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共青团扬中市委</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2023年度扬中市全市共青团工作先进单位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3</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8</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人行镇江市分行</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2023年度镇江市“甘露行动”“十佳金融产品”</w:t>
            </w:r>
            <w:r>
              <w:rPr>
                <w:rFonts w:hint="eastAsia" w:ascii="仿宋_GB2312" w:hAnsi="仿宋_GB2312" w:eastAsia="仿宋_GB2312" w:cs="仿宋_GB2312"/>
                <w:sz w:val="18"/>
                <w:szCs w:val="18"/>
                <w:highlight w:val="none"/>
                <w:lang w:eastAsia="zh-CN"/>
              </w:rPr>
              <w:t>——</w:t>
            </w:r>
            <w:r>
              <w:rPr>
                <w:rFonts w:hint="eastAsia" w:ascii="仿宋_GB2312" w:hAnsi="仿宋_GB2312" w:eastAsia="仿宋_GB2312" w:cs="仿宋_GB2312"/>
                <w:sz w:val="18"/>
                <w:szCs w:val="18"/>
                <w:highlight w:val="none"/>
                <w:lang w:val="en-US" w:eastAsia="zh-CN"/>
              </w:rPr>
              <w:t>社保快贷</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3</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9</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中共扬中市委</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2023年度扬中市委直属党（工）委（党总支）“十佳”党建项目</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3</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10</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人行镇江市分行</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2023年度镇江市四星统计单位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4</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11</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省联社</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“推进五访五增  助力市场主体”进取型二等奖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4</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12</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highlight w:val="none"/>
              </w:rPr>
              <w:t>省联社</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2023年度安全保卫考评优胜奖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4</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13</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kern w:val="0"/>
                <w:sz w:val="18"/>
                <w:szCs w:val="18"/>
                <w:highlight w:val="yellow"/>
              </w:rPr>
            </w:pPr>
            <w:r>
              <w:rPr>
                <w:rFonts w:hint="eastAsia" w:ascii="仿宋_GB2312" w:hAnsi="仿宋_GB2312" w:eastAsia="仿宋_GB2312" w:cs="仿宋_GB2312"/>
                <w:sz w:val="18"/>
                <w:szCs w:val="18"/>
              </w:rPr>
              <w:t>省联社</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“龙腾迎春展担当 五比五看促发展”专项活动三等奖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.4</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14</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kern w:val="0"/>
                <w:sz w:val="18"/>
                <w:szCs w:val="18"/>
                <w:highlight w:val="yellow"/>
              </w:rPr>
            </w:pPr>
            <w:r>
              <w:rPr>
                <w:rFonts w:hint="eastAsia" w:ascii="仿宋_GB2312" w:hAnsi="仿宋_GB2312" w:eastAsia="仿宋_GB2312" w:cs="仿宋_GB2312"/>
                <w:sz w:val="18"/>
                <w:szCs w:val="18"/>
              </w:rPr>
              <w:t>省联社</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2023年度全省农商行基本养老保险经办业务先进单位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.5</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15</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镇江银行业协会</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2024年镇江市银行业保险业第二届“银保杯”趣味运动会团体一等奖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.5</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16</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中共扬中市委</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z w:val="18"/>
                <w:szCs w:val="18"/>
                <w:highlight w:val="yellow"/>
              </w:rPr>
            </w:pPr>
            <w:r>
              <w:rPr>
                <w:rFonts w:hint="eastAsia" w:ascii="仿宋_GB2312" w:hAnsi="仿宋_GB2312" w:eastAsia="仿宋_GB2312" w:cs="仿宋_GB2312"/>
                <w:sz w:val="18"/>
                <w:szCs w:val="18"/>
                <w:highlight w:val="none"/>
              </w:rPr>
              <w:t>荣获2023年度综合考核位列同序列“第一等次”，扬中市服务高质量发展“十佳优质服务单位”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5</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17</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第十三届中国新型金融机构合作交流大会</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新质生产力背景下地方金融可持续发展新路径十佳数字科技赋能银行</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.6</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18</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人行镇江市分行</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2024年镇江市“镇江农村商业银行杯”第七届银行业金融机构数字人民币知识与现金服务技能竞赛团体二等奖</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8</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19</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lang w:val="en-US" w:eastAsia="zh-CN"/>
              </w:rPr>
              <w:t>省联社</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2024年江苏省农商行系统“强案防、促发展”案防劳动技能竞赛优秀组织奖、最受欢迎的案防标语</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9</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20</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镇江银行业协会</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2024年镇江市银行业消保知识竞赛“先进单位”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9</w:t>
            </w:r>
          </w:p>
        </w:tc>
      </w:tr>
      <w:tr>
        <w:tblPrEx>
          <w:tblCellMar>
            <w:top w:w="0" w:type="dxa"/>
            <w:left w:w="108" w:type="dxa"/>
            <w:bottom w:w="0" w:type="dxa"/>
            <w:right w:w="108" w:type="dxa"/>
          </w:tblCellMar>
        </w:tblPrEx>
        <w:trPr>
          <w:trHeight w:val="540" w:hRule="atLeast"/>
        </w:trPr>
        <w:tc>
          <w:tcPr>
            <w:tcW w:w="726" w:type="dxa"/>
            <w:tcBorders>
              <w:top w:val="single" w:color="auto" w:sz="8" w:space="0"/>
              <w:left w:val="single" w:color="auto" w:sz="8" w:space="0"/>
              <w:bottom w:val="single" w:color="auto" w:sz="8" w:space="0"/>
              <w:right w:val="single" w:color="auto" w:sz="8" w:space="0"/>
            </w:tcBorders>
            <w:vAlign w:val="center"/>
          </w:tcPr>
          <w:p>
            <w:pPr>
              <w:widowControl/>
              <w:spacing w:line="240" w:lineRule="atLeast"/>
              <w:jc w:val="center"/>
              <w:rPr>
                <w:rFonts w:ascii="宋体" w:hAnsi="宋体" w:eastAsia="宋体" w:cs="宋体"/>
                <w:b/>
                <w:kern w:val="0"/>
                <w:sz w:val="18"/>
                <w:szCs w:val="18"/>
              </w:rPr>
            </w:pPr>
            <w:r>
              <w:rPr>
                <w:rFonts w:hint="eastAsia" w:ascii="宋体" w:hAnsi="宋体" w:eastAsia="宋体" w:cs="宋体"/>
                <w:b/>
                <w:kern w:val="0"/>
                <w:sz w:val="18"/>
                <w:szCs w:val="18"/>
              </w:rPr>
              <w:t>21</w:t>
            </w:r>
          </w:p>
        </w:tc>
        <w:tc>
          <w:tcPr>
            <w:tcW w:w="2126"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rPr>
              <w:t>镇江银行业协会</w:t>
            </w:r>
          </w:p>
        </w:tc>
        <w:tc>
          <w:tcPr>
            <w:tcW w:w="4820" w:type="dxa"/>
            <w:tcBorders>
              <w:top w:val="single" w:color="auto" w:sz="8" w:space="0"/>
              <w:left w:val="nil"/>
              <w:bottom w:val="single" w:color="auto" w:sz="8" w:space="0"/>
              <w:right w:val="single" w:color="auto" w:sz="8" w:space="0"/>
            </w:tcBorders>
            <w:vAlign w:val="center"/>
          </w:tcPr>
          <w:p>
            <w:pPr>
              <w:widowControl/>
              <w:spacing w:line="240" w:lineRule="atLeast"/>
              <w:jc w:val="left"/>
              <w:rPr>
                <w:rFonts w:hint="eastAsia" w:ascii="仿宋_GB2312" w:hAnsi="仿宋_GB2312" w:eastAsia="仿宋_GB2312" w:cs="仿宋_GB2312"/>
                <w:spacing w:val="-1"/>
                <w:sz w:val="18"/>
                <w:szCs w:val="18"/>
                <w:highlight w:val="yellow"/>
              </w:rPr>
            </w:pPr>
            <w:r>
              <w:rPr>
                <w:rFonts w:hint="eastAsia" w:ascii="仿宋_GB2312" w:hAnsi="仿宋_GB2312" w:eastAsia="仿宋_GB2312" w:cs="仿宋_GB2312"/>
                <w:sz w:val="18"/>
                <w:szCs w:val="18"/>
                <w:highlight w:val="none"/>
              </w:rPr>
              <w:t>镇江市“庆祝中华人民共和国成立75周年”优秀作品征集活动先进单位</w:t>
            </w:r>
          </w:p>
        </w:tc>
        <w:tc>
          <w:tcPr>
            <w:tcW w:w="1283" w:type="dxa"/>
            <w:tcBorders>
              <w:top w:val="single" w:color="auto" w:sz="8" w:space="0"/>
              <w:left w:val="nil"/>
              <w:bottom w:val="single" w:color="auto" w:sz="8" w:space="0"/>
              <w:right w:val="single" w:color="auto" w:sz="8" w:space="0"/>
            </w:tcBorders>
            <w:vAlign w:val="center"/>
          </w:tcPr>
          <w:p>
            <w:pPr>
              <w:widowControl/>
              <w:spacing w:line="240" w:lineRule="atLeast"/>
              <w:jc w:val="center"/>
              <w:rPr>
                <w:rFonts w:hint="eastAsia" w:ascii="仿宋_GB2312" w:hAnsi="仿宋_GB2312" w:eastAsia="仿宋_GB2312" w:cs="仿宋_GB2312"/>
                <w:b/>
                <w:kern w:val="0"/>
                <w:sz w:val="18"/>
                <w:szCs w:val="18"/>
                <w:highlight w:val="yellow"/>
                <w:lang w:val="en-US" w:eastAsia="zh-CN"/>
              </w:rPr>
            </w:pPr>
            <w:r>
              <w:rPr>
                <w:rFonts w:hint="eastAsia" w:ascii="仿宋_GB2312" w:hAnsi="仿宋_GB2312" w:eastAsia="仿宋_GB2312" w:cs="仿宋_GB2312"/>
                <w:sz w:val="18"/>
                <w:szCs w:val="18"/>
                <w:lang w:eastAsia="zh-CN"/>
              </w:rPr>
              <w:t>2024</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10</w:t>
            </w:r>
          </w:p>
        </w:tc>
      </w:tr>
    </w:tbl>
    <w:p>
      <w:pPr>
        <w:spacing w:line="480" w:lineRule="exact"/>
        <w:ind w:firstLine="420" w:firstLineChars="0"/>
        <w:contextualSpacing/>
        <w:rPr>
          <w:rFonts w:ascii="黑体" w:hAnsi="黑体" w:eastAsia="黑体"/>
          <w:sz w:val="30"/>
          <w:szCs w:val="30"/>
        </w:rPr>
      </w:pPr>
      <w:r>
        <w:rPr>
          <w:rFonts w:ascii="黑体" w:hAnsi="黑体" w:eastAsia="黑体"/>
          <w:sz w:val="30"/>
          <w:szCs w:val="30"/>
        </w:rPr>
        <w:t>二</w:t>
      </w:r>
      <w:r>
        <w:rPr>
          <w:rFonts w:hint="eastAsia" w:ascii="黑体" w:hAnsi="黑体" w:eastAsia="黑体"/>
          <w:sz w:val="30"/>
          <w:szCs w:val="30"/>
        </w:rPr>
        <w:t>、</w:t>
      </w:r>
      <w:r>
        <w:rPr>
          <w:rFonts w:ascii="黑体" w:hAnsi="黑体" w:eastAsia="黑体"/>
          <w:sz w:val="30"/>
          <w:szCs w:val="30"/>
        </w:rPr>
        <w:t>社会责任管理</w:t>
      </w:r>
    </w:p>
    <w:p>
      <w:pPr>
        <w:spacing w:line="480" w:lineRule="exact"/>
        <w:ind w:firstLine="644" w:firstLineChars="200"/>
        <w:contextualSpacing/>
        <w:rPr>
          <w:rFonts w:ascii="黑体" w:hAnsi="黑体" w:eastAsia="黑体"/>
          <w:sz w:val="30"/>
          <w:szCs w:val="30"/>
        </w:rPr>
      </w:pPr>
      <w:r>
        <w:rPr>
          <w:rFonts w:hint="eastAsia" w:ascii="黑体" w:hAnsi="黑体" w:eastAsia="黑体"/>
          <w:sz w:val="30"/>
          <w:szCs w:val="30"/>
        </w:rPr>
        <w:t>（一）党建引领</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扬中农商银行党委现辖党支部10个、党员17</w:t>
      </w:r>
      <w:r>
        <w:rPr>
          <w:rFonts w:hint="eastAsia" w:ascii="仿宋_GB2312" w:eastAsia="仿宋_GB2312"/>
          <w:color w:val="auto"/>
          <w:sz w:val="30"/>
          <w:szCs w:val="30"/>
          <w:lang w:val="en-US" w:eastAsia="zh-CN"/>
        </w:rPr>
        <w:t>0</w:t>
      </w:r>
      <w:r>
        <w:rPr>
          <w:rFonts w:hint="eastAsia" w:ascii="仿宋_GB2312" w:eastAsia="仿宋_GB2312"/>
          <w:color w:val="auto"/>
          <w:sz w:val="30"/>
          <w:szCs w:val="30"/>
        </w:rPr>
        <w:t>人，其中</w:t>
      </w:r>
      <w:r>
        <w:rPr>
          <w:rFonts w:hint="eastAsia" w:ascii="仿宋_GB2312" w:eastAsia="仿宋_GB2312"/>
          <w:color w:val="auto"/>
          <w:sz w:val="30"/>
          <w:szCs w:val="30"/>
          <w:lang w:eastAsia="zh-CN"/>
        </w:rPr>
        <w:t>2024</w:t>
      </w:r>
      <w:r>
        <w:rPr>
          <w:rFonts w:hint="eastAsia" w:ascii="仿宋_GB2312" w:eastAsia="仿宋_GB2312"/>
          <w:color w:val="auto"/>
          <w:sz w:val="30"/>
          <w:szCs w:val="30"/>
        </w:rPr>
        <w:t>年新发展党员2人。</w:t>
      </w:r>
      <w:r>
        <w:rPr>
          <w:rFonts w:hint="eastAsia" w:ascii="仿宋_GB2312" w:eastAsia="仿宋_GB2312"/>
          <w:color w:val="auto"/>
          <w:sz w:val="30"/>
          <w:szCs w:val="30"/>
          <w:lang w:eastAsia="zh-CN"/>
        </w:rPr>
        <w:t>2024</w:t>
      </w:r>
      <w:r>
        <w:rPr>
          <w:rFonts w:hint="eastAsia" w:ascii="仿宋_GB2312" w:eastAsia="仿宋_GB2312"/>
          <w:color w:val="auto"/>
          <w:sz w:val="30"/>
          <w:szCs w:val="30"/>
        </w:rPr>
        <w:t>年，扬中农商银行党委认真贯彻落实上级党委的各项工作要求，深化党的领导与公司治理有机融合，有效落实党委前置决策、“交叉任职、双向进入”等要求。</w:t>
      </w:r>
      <w:r>
        <w:rPr>
          <w:rFonts w:hint="eastAsia" w:ascii="仿宋_GB2312" w:hAnsi="Calibri" w:eastAsia="仿宋_GB2312"/>
          <w:color w:val="auto"/>
          <w:sz w:val="30"/>
          <w:szCs w:val="30"/>
        </w:rPr>
        <w:t>严格落实“三重一大”和“党委前置研究讨论重大事项规程”，重大事项均先经过党委会前置讨论后再提交董事会或行办会审议</w:t>
      </w:r>
      <w:r>
        <w:rPr>
          <w:rFonts w:hint="eastAsia" w:ascii="仿宋_GB2312" w:eastAsia="仿宋_GB2312"/>
          <w:color w:val="auto"/>
          <w:sz w:val="30"/>
          <w:szCs w:val="30"/>
        </w:rPr>
        <w:t>。在深化改革和转型发展中充分发挥党组织领导核心和政治核心作用，切实担负起金融机构的政治责任、经济责任和社会责任。</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 xml:space="preserve">扬中农商银行党委坚持把学习习近平总书记系列重要讲话精神同研究解决银行改革发展的突出问题、党建工作面临的紧迫问题相结合，不断健全党委统一领导、党委书记第一责任、班子成员“一岗双责”、职能部门牵头协调的党建工作格局，在党建工作中注重基层组织建设，提升服务发展的战斗力，加强党风廉政建设，提升拒腐防变的免疫力。通过党建引领，全行思想统一到进一步增强企业可持续发展能力、服务地方经济社会发展、支持实体经济上来，对社会负责，对股东负责，树立了良好的社会声誉和品牌形象。 </w:t>
      </w:r>
    </w:p>
    <w:p>
      <w:pPr>
        <w:widowControl w:val="0"/>
        <w:spacing w:line="520" w:lineRule="exact"/>
        <w:ind w:firstLine="684"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一是强化政治引领，坚定政治立场</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1.加强理论武装。</w:t>
      </w:r>
      <w:r>
        <w:rPr>
          <w:rFonts w:hint="eastAsia" w:ascii="仿宋_GB2312" w:eastAsia="仿宋_GB2312" w:cs="宋体" w:hAnsiTheme="minorHAnsi"/>
          <w:color w:val="auto"/>
          <w:kern w:val="0"/>
          <w:sz w:val="30"/>
          <w:szCs w:val="30"/>
          <w:lang w:val="en-US" w:eastAsia="zh-CN" w:bidi="ar-SA"/>
        </w:rPr>
        <w:t>总行党委坚持把习近平新时代中国特色社会主义思想作为首要的政治任务，通过党委中心组学习、“三会一课”、主题党日等多种形式，组织党员干部深入学习党的二十大精神、二十届三全会精神以及习近平总书记关于金融工作、国有企业党的建设、全面从严治党的重要论述，建立集中学习交流研讨制度，做到常读常思、常学常新。全年组织党委中心组理论学习12次、其中专题研讨8次、现场研学1次，党支部开展主题党日活动12次，引导党员干部深刻领悟“两个确立”的决定性意义，增强“四个意识”，坚定“四个自信”，做到“两个维护”。</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2.严肃党内政治生活。</w:t>
      </w:r>
      <w:r>
        <w:rPr>
          <w:rFonts w:hint="eastAsia" w:ascii="仿宋_GB2312" w:eastAsia="仿宋_GB2312" w:cs="宋体" w:hAnsiTheme="minorHAnsi"/>
          <w:color w:val="auto"/>
          <w:kern w:val="0"/>
          <w:sz w:val="30"/>
          <w:szCs w:val="30"/>
          <w:lang w:val="en-US" w:eastAsia="zh-CN" w:bidi="ar-SA"/>
        </w:rPr>
        <w:t>严格执行《关于新形势下党内政治生活的若干准则》，认真落实民主生活会、组织生活会、民主评议党员等制度。根据省联社党委统一部署要求，总行党委领导班子紧紧围绕省联社党委巡察反馈问题召开专题民主生活会，紧扣民主生活会的主题和任务，主动把职责摆进去、把工作摆进去，抓好会前学习，广泛听取意见，深入谈心谈话，认真查摆问题，深刻剖析根源，进一步明确整改措施，使民主生活会切实成为更好推进我行高质量发展的强大推动力。总行党委领导班子成员带头参加双重组织生活，以普通党员身份参加所在支部的组织生活，与党员干部开展谈心谈话40余人次，交流思想、听取意见、查摆问题，党内政治生活的政治性、时代性、原则性、战斗性进一步增强。</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3.压实意识形态工作责任制。</w:t>
      </w:r>
      <w:r>
        <w:rPr>
          <w:rFonts w:hint="eastAsia" w:ascii="仿宋_GB2312" w:eastAsia="仿宋_GB2312" w:cs="宋体" w:hAnsiTheme="minorHAnsi"/>
          <w:color w:val="auto"/>
          <w:kern w:val="0"/>
          <w:sz w:val="30"/>
          <w:szCs w:val="30"/>
          <w:lang w:val="en-US" w:eastAsia="zh-CN" w:bidi="ar-SA"/>
        </w:rPr>
        <w:t>总行党委成立意识形态工作领导小组，明确党委主体责任和党委书记第一责任人责任，班子成员“一岗双责”，深刻认识到“意识形态工作是党的一项极端重要的工作”必须要有系统思维长抓不懈。定期分析研判全行意识形态领域情况，加强对全行宣传思想文化阵地的管理，发现苗头性的问题，及时跟进，化解处置，牢牢掌握意识形态工作的领导权和主动权。今年以来，共召开意识形态专题会议2次，开展意识形态工作专项检查1次，不断提升做好新形势下全行意识形态工作的能力。</w:t>
      </w:r>
    </w:p>
    <w:p>
      <w:pPr>
        <w:widowControl w:val="0"/>
        <w:spacing w:line="520" w:lineRule="exact"/>
        <w:ind w:firstLine="684" w:firstLineChars="2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二是健全责任体系，推动责任落实</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1.完善三张清单，夯实政治责任。</w:t>
      </w:r>
      <w:r>
        <w:rPr>
          <w:rFonts w:hint="eastAsia" w:ascii="仿宋_GB2312" w:eastAsia="仿宋_GB2312" w:cs="宋体" w:hAnsiTheme="minorHAnsi"/>
          <w:color w:val="auto"/>
          <w:kern w:val="0"/>
          <w:sz w:val="30"/>
          <w:szCs w:val="30"/>
          <w:lang w:val="en-US" w:eastAsia="zh-CN" w:bidi="ar-SA"/>
        </w:rPr>
        <w:t>制定扬中农商银行全面从严治党“三级责任清单”，压紧压实全面从严治党主体责任进行再动员、再部署、再安排，明确党委领导班子、党委书记、班子成员以及各党支部在全面从严治党工作中的具体责任，将责任落实到人、任务落实到位。</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color w:val="auto"/>
          <w:kern w:val="0"/>
          <w:sz w:val="30"/>
          <w:szCs w:val="30"/>
          <w:lang w:val="en-US" w:eastAsia="zh-CN" w:bidi="ar-SA"/>
        </w:rPr>
        <w:t xml:space="preserve"> </w:t>
      </w:r>
      <w:r>
        <w:rPr>
          <w:rFonts w:hint="eastAsia" w:ascii="仿宋_GB2312" w:eastAsia="仿宋_GB2312" w:cs="宋体" w:hAnsiTheme="minorHAnsi"/>
          <w:b/>
          <w:bCs/>
          <w:color w:val="auto"/>
          <w:kern w:val="0"/>
          <w:sz w:val="30"/>
          <w:szCs w:val="30"/>
          <w:lang w:val="en-US" w:eastAsia="zh-CN" w:bidi="ar-SA"/>
        </w:rPr>
        <w:t>2.加强工作部署，促进履职担当。</w:t>
      </w:r>
      <w:r>
        <w:rPr>
          <w:rFonts w:hint="eastAsia" w:ascii="仿宋_GB2312" w:eastAsia="仿宋_GB2312" w:cs="宋体" w:hAnsiTheme="minorHAnsi"/>
          <w:color w:val="auto"/>
          <w:kern w:val="0"/>
          <w:sz w:val="30"/>
          <w:szCs w:val="30"/>
          <w:lang w:val="en-US" w:eastAsia="zh-CN" w:bidi="ar-SA"/>
        </w:rPr>
        <w:t>年初召开“2024年党建工作会议暨年度工作会议”，对全年工作进行安排部署，与各支部签订党建工作目标责任书和党风廉政建设责任书，层层压实责任。全年共召开党委会24次，专题研究全面从严治党工作2次，及时解决工作中存在的问题，督促相关部门对症下药，标本兼治。精准有效运用监督执纪“四种形态”，依规依纪依法，对不履行或者不正确履行管党治党政治责任的基层支部和党员干部进行追责、问责。</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3.强化考核评价，提升能力本领。</w:t>
      </w:r>
      <w:r>
        <w:rPr>
          <w:rFonts w:hint="eastAsia" w:ascii="仿宋_GB2312" w:eastAsia="仿宋_GB2312" w:cs="宋体" w:hAnsiTheme="minorHAnsi"/>
          <w:color w:val="auto"/>
          <w:kern w:val="0"/>
          <w:sz w:val="30"/>
          <w:szCs w:val="30"/>
          <w:lang w:val="en-US" w:eastAsia="zh-CN" w:bidi="ar-SA"/>
        </w:rPr>
        <w:t>将全面从严治党纳入年度综合考核体系，制定详细的考核评价标准，发挥党建考核“乘数效应”，通过日常检查、按季考核的方式，对各基层支部落实全面从严治党主体责任进行考核评价，考核结果与绩效薪酬、评先评优、干部选拔进行有机结合，切实发挥考核的指挥棒作用。今年以来对第五、第六、第八支部进行巡查，对存在的问题进行通报批评，并责令限期整改。</w:t>
      </w:r>
    </w:p>
    <w:p>
      <w:pPr>
        <w:widowControl w:val="0"/>
        <w:spacing w:line="520" w:lineRule="exact"/>
        <w:ind w:firstLine="684" w:firstLineChars="2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三是加强组织建设，夯实党建基础</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1.聚焦年轻干部锻炼成才。</w:t>
      </w:r>
      <w:r>
        <w:rPr>
          <w:rFonts w:hint="eastAsia" w:ascii="仿宋_GB2312" w:eastAsia="仿宋_GB2312" w:cs="宋体" w:hAnsiTheme="minorHAnsi"/>
          <w:color w:val="auto"/>
          <w:kern w:val="0"/>
          <w:sz w:val="30"/>
          <w:szCs w:val="30"/>
          <w:lang w:val="en-US" w:eastAsia="zh-CN" w:bidi="ar-SA"/>
        </w:rPr>
        <w:t>坚持党管干部原则和民主集中制原则，贯彻新时期好干部标准，严格执行《党政领导干部选拔任用工作条例》，建立健全人才培养体系，聚焦新晋员工、管理人员、专业人员“三大序列”，开展“星梦”“星耀”“星闪”三大计划，培养选拔了一批年青后备人才队伍，为本行高质量发展夯实了人才基础。</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2.加大轮岗交流使用力度。</w:t>
      </w:r>
      <w:r>
        <w:rPr>
          <w:rFonts w:hint="eastAsia" w:ascii="仿宋_GB2312" w:eastAsia="仿宋_GB2312" w:cs="宋体" w:hAnsiTheme="minorHAnsi"/>
          <w:color w:val="auto"/>
          <w:kern w:val="0"/>
          <w:sz w:val="30"/>
          <w:szCs w:val="30"/>
          <w:lang w:val="en-US" w:eastAsia="zh-CN" w:bidi="ar-SA"/>
        </w:rPr>
        <w:t>加大中层干部交流力度，打破“干部好用，一直不动”的思维模式，近三年所有机关部门负责人均进行轮岗，着力培养“一岗精、多岗通”的复合型人才。坚持把基层一线作为培养年轻干部的主阵地和主赛场，专门设立“团队长”序列，有计划地安排中层后备到基层一线重要岗位经受磨练，使后备干部在多种环境和不同岗位上经受锻炼，不断提升实际工作能力。</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3.大力选树典型标杆。</w:t>
      </w:r>
      <w:r>
        <w:rPr>
          <w:rFonts w:hint="eastAsia" w:ascii="仿宋_GB2312" w:eastAsia="仿宋_GB2312" w:cs="宋体" w:hAnsiTheme="minorHAnsi"/>
          <w:color w:val="auto"/>
          <w:kern w:val="0"/>
          <w:sz w:val="30"/>
          <w:szCs w:val="30"/>
          <w:lang w:val="en-US" w:eastAsia="zh-CN" w:bidi="ar-SA"/>
        </w:rPr>
        <w:t>着力健全各领域荣誉体系，鼓励全员加强自身学习，设立“学习之星”表彰先进。修订完善制度办法，对在省、市、县各级比赛中获得名次荣誉的员工进行奖励。在年度会议中，对甘于奉献的10名同志颁发“最美奋斗者”奖杯，对于在业务营销过程中涌现出的各类先锋颁发荣誉奖章，充分激发全员奋斗激情。</w:t>
      </w:r>
    </w:p>
    <w:p>
      <w:pPr>
        <w:widowControl w:val="0"/>
        <w:spacing w:line="520" w:lineRule="exact"/>
        <w:ind w:firstLine="684" w:firstLineChars="2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b/>
          <w:bCs/>
          <w:sz w:val="32"/>
          <w:szCs w:val="32"/>
        </w:rPr>
        <w:t>加强</w:t>
      </w:r>
      <w:r>
        <w:rPr>
          <w:rFonts w:hint="eastAsia" w:ascii="仿宋_GB2312" w:hAnsi="仿宋_GB2312" w:eastAsia="仿宋_GB2312" w:cs="仿宋_GB2312"/>
          <w:b/>
          <w:bCs/>
          <w:sz w:val="32"/>
          <w:szCs w:val="32"/>
          <w:lang w:val="en-US" w:eastAsia="zh-CN"/>
        </w:rPr>
        <w:t>作风建设，弘扬清风正气</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1.强化务实作风。</w:t>
      </w:r>
      <w:r>
        <w:rPr>
          <w:rFonts w:hint="eastAsia" w:ascii="仿宋_GB2312" w:eastAsia="仿宋_GB2312" w:cs="宋体" w:hAnsiTheme="minorHAnsi"/>
          <w:color w:val="auto"/>
          <w:kern w:val="0"/>
          <w:sz w:val="30"/>
          <w:szCs w:val="30"/>
          <w:lang w:val="en-US" w:eastAsia="zh-CN" w:bidi="ar-SA"/>
        </w:rPr>
        <w:t xml:space="preserve">总行党委、纪委自觉站在增强“四个意识”、落实“两个维护”的政治高度，常态化开展党员干部纪律教育，对可能出现的腐败和作风问题超前防范，提早研究制定防范机制，不断压实主体责任、抓细监督责任。带头树立“一线”意识，走出办公室，把听意见、解难题、拿对策的现场放在基层一线，以务实作风坚决防止和克服形式主义、官僚主义，组织开展专项整治行动，通过明察暗访、客户反馈等途径收集问题线索13条，全部整改落实到位。 </w:t>
      </w:r>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2.完善监督机制。</w:t>
      </w:r>
      <w:r>
        <w:rPr>
          <w:rFonts w:hint="eastAsia" w:ascii="仿宋_GB2312" w:eastAsia="仿宋_GB2312" w:cs="宋体" w:hAnsiTheme="minorHAnsi"/>
          <w:color w:val="auto"/>
          <w:kern w:val="0"/>
          <w:sz w:val="30"/>
          <w:szCs w:val="30"/>
          <w:lang w:val="en-US" w:eastAsia="zh-CN" w:bidi="ar-SA"/>
        </w:rPr>
        <w:t>印发《扬中农商银行内部监督贯通协同管理办法》，积极构建以党内监督为主体，审计、合规、风险协同配合的“1+N”大监督体系，常态化开展员工家访、征信排查、警示教育等规定动作，积极构建风清气正的发展环境。加大员工异常行为监测查处力度，坚决清理员工参与民间借贷、充当资金掮客、经商办企业等违法违规行为，严禁员工违规借助各类中介办理业务，严禁员工或其家人与贷款中介发生资金往来</w:t>
      </w:r>
      <w:r>
        <w:rPr>
          <w:rFonts w:hint="eastAsia" w:ascii="仿宋_GB2312" w:eastAsia="仿宋_GB2312" w:cs="宋体"/>
          <w:color w:val="auto"/>
          <w:kern w:val="0"/>
          <w:sz w:val="30"/>
          <w:szCs w:val="30"/>
          <w:lang w:val="en-US" w:eastAsia="zh-CN" w:bidi="ar-SA"/>
        </w:rPr>
        <w:t>。</w:t>
      </w:r>
      <w:r>
        <w:rPr>
          <w:rFonts w:hint="eastAsia" w:ascii="仿宋_GB2312" w:eastAsia="仿宋_GB2312" w:cs="宋体" w:hAnsiTheme="minorHAnsi"/>
          <w:color w:val="auto"/>
          <w:kern w:val="0"/>
          <w:sz w:val="30"/>
          <w:szCs w:val="30"/>
          <w:lang w:val="en-US" w:eastAsia="zh-CN" w:bidi="ar-SA"/>
        </w:rPr>
        <w:t>严格执行廉政约谈制度，及时对存在违法违纪苗头性、倾向性问题的党员干部进行约谈，给党员干部“拉袖子”、“拍肩膀”，将不良思想和行为消除在萌芽阶段，有效地遏制了违法违纪问题的发生。</w:t>
      </w:r>
      <w:bookmarkStart w:id="0" w:name="_GoBack"/>
      <w:bookmarkEnd w:id="0"/>
    </w:p>
    <w:p>
      <w:pPr>
        <w:widowControl w:val="0"/>
        <w:spacing w:line="520" w:lineRule="exact"/>
        <w:ind w:firstLine="644" w:firstLineChars="200"/>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3.严肃执纪问责。</w:t>
      </w:r>
      <w:r>
        <w:rPr>
          <w:rFonts w:hint="eastAsia" w:ascii="仿宋_GB2312" w:eastAsia="仿宋_GB2312" w:cs="宋体" w:hAnsiTheme="minorHAnsi"/>
          <w:color w:val="auto"/>
          <w:kern w:val="0"/>
          <w:sz w:val="30"/>
          <w:szCs w:val="30"/>
          <w:lang w:val="en-US" w:eastAsia="zh-CN" w:bidi="ar-SA"/>
        </w:rPr>
        <w:t>总行党委坚持以习近平新时代中国特色社会主义思想为指导，认真贯彻落实“两个责任”清单，求真务实，扎实进取，纵深推进全面从严治党，实现了能查尽查、应改尽改，真正做到了直面问题真整改、梳理制度严约束、聚焦行为强监督。总行纪委在营业窗口公示监督举报电话，畅通监督举报渠道，广泛收集问题线索，充分利用贯通协同机制，发挥群众监督和舆论监督的作用。坚持问题导向，严肃问题线索管理，严肃查处各类检查中发现的违规问题。2024年，共有25名员工受到组织处理，其中通报批评22人，岗位调整2人，留用察看1人；查处1名中层干部酒驾醉驾，并给予党纪处分，查处2名员工涉嫌违反中央八项规定精神，并已立案审查。</w:t>
      </w:r>
    </w:p>
    <w:p>
      <w:pPr>
        <w:pStyle w:val="13"/>
        <w:adjustRightInd/>
        <w:spacing w:line="480" w:lineRule="exact"/>
        <w:ind w:firstLine="644" w:firstLineChars="200"/>
        <w:contextualSpacing/>
        <w:rPr>
          <w:rFonts w:ascii="黑体" w:hAnsi="黑体" w:eastAsia="黑体"/>
          <w:color w:val="auto"/>
          <w:sz w:val="30"/>
          <w:szCs w:val="30"/>
        </w:rPr>
      </w:pPr>
      <w:r>
        <w:rPr>
          <w:rFonts w:hint="eastAsia" w:ascii="黑体" w:hAnsi="黑体" w:eastAsia="黑体"/>
          <w:color w:val="auto"/>
          <w:sz w:val="30"/>
          <w:szCs w:val="30"/>
        </w:rPr>
        <w:t>（二）公司治理</w:t>
      </w:r>
    </w:p>
    <w:p>
      <w:pPr>
        <w:pStyle w:val="13"/>
        <w:adjustRightInd/>
        <w:spacing w:line="480" w:lineRule="exact"/>
        <w:ind w:firstLine="644" w:firstLineChars="200"/>
        <w:contextualSpacing/>
        <w:rPr>
          <w:rFonts w:ascii="仿宋_GB2312" w:eastAsia="仿宋_GB2312"/>
          <w:b/>
          <w:color w:val="auto"/>
          <w:sz w:val="30"/>
          <w:szCs w:val="30"/>
        </w:rPr>
      </w:pPr>
      <w:r>
        <w:rPr>
          <w:rFonts w:ascii="仿宋_GB2312" w:eastAsia="仿宋_GB2312"/>
          <w:b/>
          <w:color w:val="auto"/>
          <w:sz w:val="30"/>
          <w:szCs w:val="30"/>
        </w:rPr>
        <w:t>1</w:t>
      </w:r>
      <w:r>
        <w:rPr>
          <w:rFonts w:hint="eastAsia" w:ascii="仿宋_GB2312" w:eastAsia="仿宋_GB2312"/>
          <w:b/>
          <w:color w:val="auto"/>
          <w:sz w:val="30"/>
          <w:szCs w:val="30"/>
        </w:rPr>
        <w:t>、公司治理组织架构</w:t>
      </w:r>
    </w:p>
    <w:p>
      <w:pPr>
        <w:spacing w:line="480" w:lineRule="exact"/>
        <w:ind w:firstLine="644" w:firstLineChars="200"/>
        <w:contextualSpacing/>
        <w:jc w:val="left"/>
        <w:rPr>
          <w:rFonts w:ascii="仿宋_GB2312" w:eastAsia="仿宋_GB2312" w:cs="宋体"/>
          <w:kern w:val="0"/>
          <w:sz w:val="30"/>
          <w:szCs w:val="30"/>
        </w:rPr>
      </w:pPr>
      <w:r>
        <w:rPr>
          <w:rFonts w:hint="eastAsia" w:ascii="仿宋_GB2312" w:eastAsia="仿宋_GB2312" w:cs="宋体"/>
          <w:kern w:val="0"/>
          <w:sz w:val="30"/>
          <w:szCs w:val="30"/>
        </w:rPr>
        <w:t>本行严格遵守《公司法》、《商业银行法》等法律法规要求，目前己形成“股东大会权力机构、董事会战略决策、监事会独立监督、高管层授权经营、党委会领导核心”的公司治理结构，并持续规范和优化公司治理体系。本行公司治理各主体之间权责分明，既相互约束相互制衡，又相互促进有机统一，以高标准持续、有效地提升公司治理水平，为践行企业社会责任夯实基础。</w:t>
      </w:r>
    </w:p>
    <w:p>
      <w:pPr>
        <w:pStyle w:val="13"/>
        <w:adjustRightInd/>
        <w:spacing w:line="480" w:lineRule="exact"/>
        <w:ind w:firstLine="644" w:firstLineChars="200"/>
        <w:contextualSpacing/>
        <w:rPr>
          <w:rFonts w:ascii="仿宋_GB2312" w:eastAsia="仿宋_GB2312"/>
          <w:b/>
          <w:color w:val="auto"/>
          <w:sz w:val="30"/>
          <w:szCs w:val="30"/>
        </w:rPr>
      </w:pPr>
      <w:r>
        <w:rPr>
          <w:rFonts w:ascii="仿宋_GB2312" w:eastAsia="仿宋_GB2312"/>
          <w:b/>
          <w:color w:val="auto"/>
          <w:sz w:val="30"/>
          <w:szCs w:val="30"/>
        </w:rPr>
        <w:t>2</w:t>
      </w:r>
      <w:r>
        <w:rPr>
          <w:rFonts w:hint="eastAsia" w:ascii="仿宋_GB2312" w:eastAsia="仿宋_GB2312"/>
          <w:b/>
          <w:color w:val="auto"/>
          <w:sz w:val="30"/>
          <w:szCs w:val="30"/>
        </w:rPr>
        <w:t>、公司治理运行机制</w:t>
      </w:r>
    </w:p>
    <w:p>
      <w:pPr>
        <w:spacing w:line="480" w:lineRule="exact"/>
        <w:ind w:firstLine="644" w:firstLineChars="200"/>
        <w:contextualSpacing/>
        <w:rPr>
          <w:rFonts w:ascii="仿宋_GB2312" w:eastAsia="仿宋_GB2312"/>
          <w:sz w:val="30"/>
          <w:szCs w:val="30"/>
        </w:rPr>
      </w:pPr>
      <w:r>
        <w:rPr>
          <w:rFonts w:hint="eastAsia" w:ascii="仿宋_GB2312" w:eastAsia="仿宋_GB2312"/>
          <w:sz w:val="30"/>
          <w:szCs w:val="30"/>
          <w:lang w:eastAsia="zh-CN"/>
        </w:rPr>
        <w:t>2024</w:t>
      </w:r>
      <w:r>
        <w:rPr>
          <w:rFonts w:hint="eastAsia" w:ascii="仿宋_GB2312" w:eastAsia="仿宋_GB2312"/>
          <w:sz w:val="30"/>
          <w:szCs w:val="30"/>
        </w:rPr>
        <w:t>年，本行召开股东大会1次，审议通过董事会工作报告、监事会工作报告等1</w:t>
      </w:r>
      <w:r>
        <w:rPr>
          <w:rFonts w:hint="eastAsia" w:ascii="仿宋_GB2312" w:eastAsia="仿宋_GB2312"/>
          <w:sz w:val="30"/>
          <w:szCs w:val="30"/>
          <w:lang w:val="en-US" w:eastAsia="zh-CN"/>
        </w:rPr>
        <w:t>6</w:t>
      </w:r>
      <w:r>
        <w:rPr>
          <w:rFonts w:hint="eastAsia" w:ascii="仿宋_GB2312" w:eastAsia="仿宋_GB2312"/>
          <w:sz w:val="30"/>
          <w:szCs w:val="30"/>
        </w:rPr>
        <w:t>项议案。召开董事会会议8次，定期听取经营管理、风险管理和</w:t>
      </w:r>
      <w:r>
        <w:rPr>
          <w:rFonts w:hint="eastAsia" w:ascii="仿宋_GB2312" w:eastAsia="仿宋_GB2312"/>
          <w:sz w:val="30"/>
          <w:szCs w:val="30"/>
          <w:lang w:val="en-US" w:eastAsia="zh-CN"/>
        </w:rPr>
        <w:t>合规案防</w:t>
      </w:r>
      <w:r>
        <w:rPr>
          <w:rFonts w:hint="eastAsia" w:ascii="仿宋_GB2312" w:eastAsia="仿宋_GB2312"/>
          <w:sz w:val="30"/>
          <w:szCs w:val="30"/>
        </w:rPr>
        <w:t>工作情况报告</w:t>
      </w:r>
      <w:r>
        <w:rPr>
          <w:rFonts w:hint="eastAsia" w:ascii="仿宋_GB2312" w:eastAsia="仿宋_GB2312"/>
          <w:sz w:val="30"/>
          <w:szCs w:val="30"/>
          <w:lang w:eastAsia="zh-CN"/>
        </w:rPr>
        <w:t>，</w:t>
      </w:r>
      <w:r>
        <w:rPr>
          <w:rFonts w:hint="eastAsia" w:ascii="仿宋_GB2312" w:eastAsia="仿宋_GB2312"/>
          <w:sz w:val="30"/>
          <w:szCs w:val="30"/>
        </w:rPr>
        <w:t>听取或审议</w:t>
      </w:r>
      <w:r>
        <w:rPr>
          <w:rFonts w:hint="eastAsia" w:ascii="仿宋_GB2312" w:eastAsia="仿宋_GB2312"/>
          <w:sz w:val="30"/>
          <w:szCs w:val="30"/>
          <w:lang w:val="en-US" w:eastAsia="zh-CN"/>
        </w:rPr>
        <w:t>各项报告及议案89</w:t>
      </w:r>
      <w:r>
        <w:rPr>
          <w:rFonts w:hint="eastAsia" w:ascii="仿宋_GB2312" w:eastAsia="仿宋_GB2312"/>
          <w:sz w:val="30"/>
          <w:szCs w:val="30"/>
        </w:rPr>
        <w:t>项。监事会召开4次例会，听取或审议</w:t>
      </w:r>
      <w:r>
        <w:rPr>
          <w:rFonts w:hint="eastAsia" w:ascii="仿宋_GB2312" w:eastAsia="仿宋_GB2312"/>
          <w:sz w:val="30"/>
          <w:szCs w:val="30"/>
          <w:lang w:val="en-US" w:eastAsia="zh-CN"/>
        </w:rPr>
        <w:t>65</w:t>
      </w:r>
      <w:r>
        <w:rPr>
          <w:rFonts w:hint="eastAsia" w:ascii="仿宋_GB2312" w:eastAsia="仿宋_GB2312"/>
          <w:sz w:val="30"/>
          <w:szCs w:val="30"/>
        </w:rPr>
        <w:t>项议案和报告。</w:t>
      </w:r>
    </w:p>
    <w:p>
      <w:pPr>
        <w:spacing w:line="480" w:lineRule="exact"/>
        <w:ind w:firstLine="644" w:firstLineChars="200"/>
        <w:contextualSpacing/>
        <w:rPr>
          <w:rFonts w:ascii="仿宋_GB2312" w:eastAsia="仿宋_GB2312"/>
          <w:b/>
          <w:sz w:val="30"/>
          <w:szCs w:val="30"/>
        </w:rPr>
      </w:pPr>
      <w:r>
        <w:rPr>
          <w:rFonts w:hint="eastAsia" w:ascii="仿宋_GB2312" w:eastAsia="仿宋_GB2312" w:cs="宋体"/>
          <w:b/>
          <w:kern w:val="0"/>
          <w:sz w:val="30"/>
          <w:szCs w:val="30"/>
        </w:rPr>
        <w:t>3</w:t>
      </w:r>
      <w:r>
        <w:rPr>
          <w:rFonts w:hint="eastAsia" w:ascii="仿宋_GB2312" w:eastAsia="仿宋_GB2312"/>
          <w:b/>
          <w:sz w:val="30"/>
          <w:szCs w:val="30"/>
        </w:rPr>
        <w:t>、投资者关系管理</w:t>
      </w:r>
    </w:p>
    <w:p>
      <w:pPr>
        <w:pStyle w:val="13"/>
        <w:adjustRightInd/>
        <w:spacing w:line="480" w:lineRule="exact"/>
        <w:ind w:firstLine="644" w:firstLineChars="200"/>
        <w:contextualSpacing/>
        <w:rPr>
          <w:rFonts w:ascii="仿宋_GB2312" w:eastAsia="仿宋_GB2312"/>
          <w:color w:val="auto"/>
          <w:sz w:val="30"/>
          <w:szCs w:val="30"/>
        </w:rPr>
      </w:pPr>
      <w:r>
        <w:rPr>
          <w:rFonts w:hint="eastAsia" w:ascii="仿宋_GB2312" w:eastAsia="仿宋_GB2312"/>
          <w:color w:val="auto"/>
          <w:sz w:val="30"/>
          <w:szCs w:val="30"/>
        </w:rPr>
        <w:t>本行按照监管要求，遵循“诚信、公开、透明”原则，确保信息披露真实、准确、完整、及时，</w:t>
      </w:r>
      <w:r>
        <w:rPr>
          <w:rFonts w:hint="eastAsia" w:ascii="仿宋_GB2312" w:eastAsia="仿宋_GB2312"/>
          <w:color w:val="auto"/>
          <w:sz w:val="30"/>
          <w:szCs w:val="30"/>
          <w:lang w:eastAsia="zh-CN"/>
        </w:rPr>
        <w:t>2024</w:t>
      </w:r>
      <w:r>
        <w:rPr>
          <w:rFonts w:hint="eastAsia" w:ascii="仿宋_GB2312" w:eastAsia="仿宋_GB2312"/>
          <w:color w:val="auto"/>
          <w:sz w:val="30"/>
          <w:szCs w:val="30"/>
        </w:rPr>
        <w:t>年度共披露定期报告2份。建立科学开放的投资者关系管理机制，帮助投资者加深对本行的了解，保护投资者合法权益。通过接待投资者来访、参加投资者活动等多种形式加强与各方投资者的沟通交流，积极宣讲本行战略定位、发展方针和经营成效。</w:t>
      </w:r>
    </w:p>
    <w:p>
      <w:pPr>
        <w:pStyle w:val="13"/>
        <w:adjustRightInd/>
        <w:spacing w:line="480" w:lineRule="exact"/>
        <w:ind w:firstLine="644" w:firstLineChars="200"/>
        <w:contextualSpacing/>
        <w:rPr>
          <w:rFonts w:ascii="黑体" w:hAnsi="黑体" w:eastAsia="黑体"/>
          <w:color w:val="auto"/>
          <w:sz w:val="30"/>
          <w:szCs w:val="30"/>
        </w:rPr>
      </w:pPr>
      <w:r>
        <w:rPr>
          <w:rFonts w:hint="eastAsia" w:ascii="黑体" w:hAnsi="黑体" w:eastAsia="黑体"/>
          <w:color w:val="auto"/>
          <w:sz w:val="30"/>
          <w:szCs w:val="30"/>
        </w:rPr>
        <w:t>（三）风险管理</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lang w:eastAsia="zh-CN"/>
        </w:rPr>
        <w:t>2024</w:t>
      </w:r>
      <w:r>
        <w:rPr>
          <w:rFonts w:hint="eastAsia" w:ascii="仿宋_GB2312" w:eastAsia="仿宋_GB2312"/>
          <w:color w:val="auto"/>
          <w:sz w:val="30"/>
          <w:szCs w:val="30"/>
        </w:rPr>
        <w:t>年，面对复杂多变的市场环境，本行坚持</w:t>
      </w:r>
      <w:r>
        <w:rPr>
          <w:rFonts w:ascii="仿宋_GB2312" w:eastAsia="仿宋_GB2312"/>
          <w:color w:val="auto"/>
          <w:sz w:val="30"/>
          <w:szCs w:val="30"/>
        </w:rPr>
        <w:t>“</w:t>
      </w:r>
      <w:r>
        <w:rPr>
          <w:rFonts w:hint="eastAsia" w:ascii="仿宋_GB2312" w:eastAsia="仿宋_GB2312"/>
          <w:color w:val="auto"/>
          <w:sz w:val="30"/>
          <w:szCs w:val="30"/>
        </w:rPr>
        <w:t>三农两小</w:t>
      </w:r>
      <w:r>
        <w:rPr>
          <w:rFonts w:ascii="仿宋_GB2312" w:eastAsia="仿宋_GB2312"/>
          <w:color w:val="auto"/>
          <w:sz w:val="30"/>
          <w:szCs w:val="30"/>
        </w:rPr>
        <w:t>”</w:t>
      </w:r>
      <w:r>
        <w:rPr>
          <w:rFonts w:hint="eastAsia" w:ascii="仿宋_GB2312" w:eastAsia="仿宋_GB2312"/>
          <w:color w:val="auto"/>
          <w:sz w:val="30"/>
          <w:szCs w:val="30"/>
        </w:rPr>
        <w:t>市场定位，积极稳健开展各项业务，以服务实体经济为发展方向，强化风险管理理念，坚定稳健合规发展底线，完善风险管理举措。深入构建与自身经营模式相适应的风险管理体系，深化运用科技手段，科学、主动、有效地管控各类风险，不断完善风险管理流程，确保管理效能充分发挥，提升风险管理能力。</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本行奉行稳健的风险偏好，按照</w:t>
      </w:r>
      <w:r>
        <w:rPr>
          <w:rFonts w:ascii="仿宋_GB2312" w:eastAsia="仿宋_GB2312"/>
          <w:color w:val="auto"/>
          <w:sz w:val="30"/>
          <w:szCs w:val="30"/>
        </w:rPr>
        <w:t>“</w:t>
      </w:r>
      <w:r>
        <w:rPr>
          <w:rFonts w:hint="eastAsia" w:ascii="仿宋_GB2312" w:eastAsia="仿宋_GB2312"/>
          <w:color w:val="auto"/>
          <w:sz w:val="30"/>
          <w:szCs w:val="30"/>
        </w:rPr>
        <w:t>创新、稳健、合规</w:t>
      </w:r>
      <w:r>
        <w:rPr>
          <w:rFonts w:ascii="仿宋_GB2312" w:eastAsia="仿宋_GB2312"/>
          <w:color w:val="auto"/>
          <w:sz w:val="30"/>
          <w:szCs w:val="30"/>
        </w:rPr>
        <w:t>”</w:t>
      </w:r>
      <w:r>
        <w:rPr>
          <w:rFonts w:hint="eastAsia" w:ascii="仿宋_GB2312" w:eastAsia="仿宋_GB2312"/>
          <w:color w:val="auto"/>
          <w:sz w:val="30"/>
          <w:szCs w:val="30"/>
        </w:rPr>
        <w:t>的原则，努力实现股东价值的持续增长，实现风险收益最大化。</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一是持续完善风险、内控管理架构，明确董事会、监事会、高级管理层、风险管理、合规管理、内部审计和业务部门在风险、内控管理中的职责分工，持续落实内控</w:t>
      </w:r>
      <w:r>
        <w:rPr>
          <w:rFonts w:ascii="仿宋_GB2312" w:eastAsia="仿宋_GB2312"/>
          <w:color w:val="auto"/>
          <w:sz w:val="30"/>
          <w:szCs w:val="30"/>
        </w:rPr>
        <w:t>“</w:t>
      </w:r>
      <w:r>
        <w:rPr>
          <w:rFonts w:hint="eastAsia" w:ascii="仿宋_GB2312" w:eastAsia="仿宋_GB2312"/>
          <w:color w:val="auto"/>
          <w:sz w:val="30"/>
          <w:szCs w:val="30"/>
        </w:rPr>
        <w:t>三道防线</w:t>
      </w:r>
      <w:r>
        <w:rPr>
          <w:rFonts w:ascii="仿宋_GB2312" w:eastAsia="仿宋_GB2312"/>
          <w:color w:val="auto"/>
          <w:sz w:val="30"/>
          <w:szCs w:val="30"/>
        </w:rPr>
        <w:t>”</w:t>
      </w:r>
      <w:r>
        <w:rPr>
          <w:rFonts w:hint="eastAsia" w:ascii="仿宋_GB2312" w:eastAsia="仿宋_GB2312"/>
          <w:color w:val="auto"/>
          <w:sz w:val="30"/>
          <w:szCs w:val="30"/>
        </w:rPr>
        <w:t>体系。</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二是积极应对宏观经济环境和金融形势变化，加强信贷资产质量管理，高度关注重点领域风险，持续强化预警管理与风险监测，着力压降不良瑕疵贷款，不断优化信贷资产结构。</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三是通过限额管理、压力测试有效监测市场风险水平，根据市场利率变动情况，调整交易策略，有效控制市场风险。</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四是实行稳健的流动性风险管理策略，定期对流动性风险限额进行监控，合理配置资产负债，确保流动性安全。</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rPr>
        <w:t>五是不断完善洗钱风险内部控制体系，按规定履行反洗钱工作职责、积极优化升级反洗钱相关系统，切实防范洗钱风险，进一步提升洗钱风险防控水平。</w:t>
      </w:r>
    </w:p>
    <w:p>
      <w:pPr>
        <w:pStyle w:val="13"/>
        <w:adjustRightInd/>
        <w:spacing w:line="480" w:lineRule="exact"/>
        <w:ind w:firstLine="644" w:firstLineChars="200"/>
        <w:contextualSpacing/>
        <w:jc w:val="both"/>
        <w:rPr>
          <w:rFonts w:ascii="黑体" w:hAnsi="黑体" w:eastAsia="黑体"/>
          <w:color w:val="auto"/>
          <w:sz w:val="30"/>
          <w:szCs w:val="30"/>
        </w:rPr>
      </w:pPr>
      <w:r>
        <w:rPr>
          <w:rFonts w:hint="eastAsia" w:ascii="黑体" w:hAnsi="黑体" w:eastAsia="黑体"/>
          <w:color w:val="auto"/>
          <w:sz w:val="30"/>
          <w:szCs w:val="30"/>
        </w:rPr>
        <w:t>三、社会责任实践</w:t>
      </w:r>
    </w:p>
    <w:p>
      <w:pPr>
        <w:pStyle w:val="13"/>
        <w:adjustRightInd/>
        <w:spacing w:line="480" w:lineRule="exact"/>
        <w:ind w:firstLine="644" w:firstLineChars="200"/>
        <w:contextualSpacing/>
        <w:jc w:val="both"/>
        <w:rPr>
          <w:rFonts w:ascii="黑体" w:hAnsi="黑体" w:eastAsia="黑体"/>
          <w:color w:val="auto"/>
          <w:sz w:val="30"/>
          <w:szCs w:val="30"/>
        </w:rPr>
      </w:pPr>
      <w:r>
        <w:rPr>
          <w:rFonts w:hint="eastAsia" w:ascii="黑体" w:hAnsi="黑体" w:eastAsia="黑体"/>
          <w:color w:val="auto"/>
          <w:sz w:val="30"/>
          <w:szCs w:val="30"/>
        </w:rPr>
        <w:t>（一）经济责任</w:t>
      </w:r>
    </w:p>
    <w:p>
      <w:pPr>
        <w:spacing w:line="480" w:lineRule="exact"/>
        <w:ind w:firstLine="644" w:firstLineChars="200"/>
        <w:contextualSpacing/>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color w:val="auto"/>
          <w:kern w:val="0"/>
          <w:sz w:val="30"/>
          <w:szCs w:val="30"/>
          <w:lang w:val="en-US" w:eastAsia="zh-CN" w:bidi="ar-SA"/>
        </w:rPr>
        <w:t xml:space="preserve">1. </w:t>
      </w:r>
      <w:r>
        <w:rPr>
          <w:rFonts w:hint="eastAsia" w:ascii="仿宋_GB2312" w:eastAsia="仿宋_GB2312" w:cs="宋体" w:hAnsiTheme="minorHAnsi"/>
          <w:b/>
          <w:bCs/>
          <w:color w:val="auto"/>
          <w:kern w:val="0"/>
          <w:sz w:val="30"/>
          <w:szCs w:val="30"/>
          <w:lang w:val="zh-CN" w:eastAsia="zh-CN" w:bidi="ar-SA"/>
        </w:rPr>
        <w:t>存贷规模保持增长，业务发展稳中有进。</w:t>
      </w:r>
    </w:p>
    <w:p>
      <w:pPr>
        <w:spacing w:line="480" w:lineRule="exact"/>
        <w:ind w:firstLine="644" w:firstLineChars="200"/>
        <w:contextualSpacing/>
        <w:rPr>
          <w:rFonts w:hint="eastAsia" w:ascii="仿宋_GB2312" w:eastAsia="仿宋_GB2312" w:cs="宋体" w:hAnsiTheme="minorHAnsi"/>
          <w:color w:val="auto"/>
          <w:kern w:val="0"/>
          <w:sz w:val="30"/>
          <w:szCs w:val="30"/>
          <w:lang w:val="zh-CN" w:eastAsia="zh-CN" w:bidi="ar-SA"/>
        </w:rPr>
      </w:pPr>
      <w:r>
        <w:rPr>
          <w:rFonts w:hint="eastAsia" w:ascii="仿宋_GB2312" w:eastAsia="仿宋_GB2312" w:cs="宋体" w:hAnsiTheme="minorHAnsi"/>
          <w:color w:val="auto"/>
          <w:kern w:val="0"/>
          <w:sz w:val="30"/>
          <w:szCs w:val="30"/>
          <w:lang w:val="zh-CN" w:eastAsia="zh-CN" w:bidi="ar-SA"/>
        </w:rPr>
        <w:t>全行各项存款余额</w:t>
      </w:r>
      <w:r>
        <w:rPr>
          <w:rFonts w:hint="eastAsia" w:ascii="仿宋_GB2312" w:eastAsia="仿宋_GB2312" w:cs="宋体" w:hAnsiTheme="minorHAnsi"/>
          <w:color w:val="auto"/>
          <w:kern w:val="0"/>
          <w:sz w:val="30"/>
          <w:szCs w:val="30"/>
          <w:lang w:val="en-US" w:eastAsia="zh-CN" w:bidi="ar-SA"/>
        </w:rPr>
        <w:t>252.48</w:t>
      </w:r>
      <w:r>
        <w:rPr>
          <w:rFonts w:hint="eastAsia" w:ascii="仿宋_GB2312" w:eastAsia="仿宋_GB2312" w:cs="宋体" w:hAnsiTheme="minorHAnsi"/>
          <w:color w:val="auto"/>
          <w:kern w:val="0"/>
          <w:sz w:val="30"/>
          <w:szCs w:val="30"/>
          <w:lang w:val="zh-CN" w:eastAsia="zh-CN" w:bidi="ar-SA"/>
        </w:rPr>
        <w:t>亿元，比年初增加</w:t>
      </w:r>
      <w:r>
        <w:rPr>
          <w:rFonts w:hint="eastAsia" w:ascii="仿宋_GB2312" w:eastAsia="仿宋_GB2312" w:cs="宋体" w:hAnsiTheme="minorHAnsi"/>
          <w:color w:val="auto"/>
          <w:kern w:val="0"/>
          <w:sz w:val="30"/>
          <w:szCs w:val="30"/>
          <w:lang w:val="en-US" w:eastAsia="zh-CN" w:bidi="ar-SA"/>
        </w:rPr>
        <w:t>21.29</w:t>
      </w:r>
      <w:r>
        <w:rPr>
          <w:rFonts w:hint="eastAsia" w:ascii="仿宋_GB2312" w:eastAsia="仿宋_GB2312" w:cs="宋体" w:hAnsiTheme="minorHAnsi"/>
          <w:color w:val="auto"/>
          <w:kern w:val="0"/>
          <w:sz w:val="30"/>
          <w:szCs w:val="30"/>
          <w:lang w:val="zh-CN" w:eastAsia="zh-CN" w:bidi="ar-SA"/>
        </w:rPr>
        <w:t>亿元，增幅9.2</w:t>
      </w:r>
      <w:r>
        <w:rPr>
          <w:rFonts w:hint="eastAsia" w:ascii="仿宋_GB2312" w:eastAsia="仿宋_GB2312" w:cs="宋体" w:hAnsiTheme="minorHAnsi"/>
          <w:color w:val="auto"/>
          <w:kern w:val="0"/>
          <w:sz w:val="30"/>
          <w:szCs w:val="30"/>
          <w:lang w:val="en-US" w:eastAsia="zh-CN" w:bidi="ar-SA"/>
        </w:rPr>
        <w:t>1</w:t>
      </w:r>
      <w:r>
        <w:rPr>
          <w:rFonts w:hint="eastAsia" w:ascii="仿宋_GB2312" w:eastAsia="仿宋_GB2312" w:cs="宋体" w:hAnsiTheme="minorHAnsi"/>
          <w:color w:val="auto"/>
          <w:kern w:val="0"/>
          <w:sz w:val="30"/>
          <w:szCs w:val="30"/>
          <w:lang w:val="zh-CN" w:eastAsia="zh-CN" w:bidi="ar-SA"/>
        </w:rPr>
        <w:t>%。各项贷款余额</w:t>
      </w:r>
      <w:r>
        <w:rPr>
          <w:rFonts w:hint="eastAsia" w:ascii="仿宋_GB2312" w:eastAsia="仿宋_GB2312" w:cs="宋体" w:hAnsiTheme="minorHAnsi"/>
          <w:color w:val="auto"/>
          <w:kern w:val="0"/>
          <w:sz w:val="30"/>
          <w:szCs w:val="30"/>
          <w:lang w:val="en-US" w:eastAsia="zh-CN" w:bidi="ar-SA"/>
        </w:rPr>
        <w:t>210.52</w:t>
      </w:r>
      <w:r>
        <w:rPr>
          <w:rFonts w:hint="eastAsia" w:ascii="仿宋_GB2312" w:eastAsia="仿宋_GB2312" w:cs="宋体" w:hAnsiTheme="minorHAnsi"/>
          <w:color w:val="auto"/>
          <w:kern w:val="0"/>
          <w:sz w:val="30"/>
          <w:szCs w:val="30"/>
          <w:lang w:val="zh-CN" w:eastAsia="zh-CN" w:bidi="ar-SA"/>
        </w:rPr>
        <w:t>亿元，比年初增加</w:t>
      </w:r>
      <w:r>
        <w:rPr>
          <w:rFonts w:hint="eastAsia" w:ascii="仿宋_GB2312" w:eastAsia="仿宋_GB2312" w:cs="宋体" w:hAnsiTheme="minorHAnsi"/>
          <w:color w:val="auto"/>
          <w:kern w:val="0"/>
          <w:sz w:val="30"/>
          <w:szCs w:val="30"/>
          <w:lang w:val="en-US" w:eastAsia="zh-CN" w:bidi="ar-SA"/>
        </w:rPr>
        <w:t>17.78</w:t>
      </w:r>
      <w:r>
        <w:rPr>
          <w:rFonts w:hint="eastAsia" w:ascii="仿宋_GB2312" w:eastAsia="仿宋_GB2312" w:cs="宋体" w:hAnsiTheme="minorHAnsi"/>
          <w:color w:val="auto"/>
          <w:kern w:val="0"/>
          <w:sz w:val="30"/>
          <w:szCs w:val="30"/>
          <w:lang w:val="zh-CN" w:eastAsia="zh-CN" w:bidi="ar-SA"/>
        </w:rPr>
        <w:t>亿元，增幅9.2</w:t>
      </w:r>
      <w:r>
        <w:rPr>
          <w:rFonts w:hint="eastAsia" w:ascii="仿宋_GB2312" w:eastAsia="仿宋_GB2312" w:cs="宋体" w:hAnsiTheme="minorHAnsi"/>
          <w:color w:val="auto"/>
          <w:kern w:val="0"/>
          <w:sz w:val="30"/>
          <w:szCs w:val="30"/>
          <w:lang w:val="en-US" w:eastAsia="zh-CN" w:bidi="ar-SA"/>
        </w:rPr>
        <w:t>3</w:t>
      </w:r>
      <w:r>
        <w:rPr>
          <w:rFonts w:hint="eastAsia" w:ascii="仿宋_GB2312" w:eastAsia="仿宋_GB2312" w:cs="宋体" w:hAnsiTheme="minorHAnsi"/>
          <w:color w:val="auto"/>
          <w:kern w:val="0"/>
          <w:sz w:val="30"/>
          <w:szCs w:val="30"/>
          <w:lang w:val="zh-CN" w:eastAsia="zh-CN" w:bidi="ar-SA"/>
        </w:rPr>
        <w:t>%。存、贷款市场份额分别为23.06%、17.89%，在全市金融机构中均排名第一。贷款总户数（含贷记卡）19408户，比年初增加1054户，增幅5.74%。</w:t>
      </w:r>
    </w:p>
    <w:p>
      <w:pPr>
        <w:spacing w:line="480" w:lineRule="exact"/>
        <w:ind w:firstLine="644" w:firstLineChars="200"/>
        <w:contextualSpacing/>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color w:val="auto"/>
          <w:kern w:val="0"/>
          <w:sz w:val="30"/>
          <w:szCs w:val="30"/>
          <w:lang w:val="en-US" w:eastAsia="zh-CN" w:bidi="ar-SA"/>
        </w:rPr>
        <w:t>2.</w:t>
      </w:r>
      <w:r>
        <w:rPr>
          <w:rFonts w:hint="eastAsia" w:ascii="仿宋_GB2312" w:eastAsia="仿宋_GB2312" w:cs="宋体" w:hAnsiTheme="minorHAnsi"/>
          <w:b/>
          <w:bCs/>
          <w:color w:val="auto"/>
          <w:kern w:val="0"/>
          <w:sz w:val="30"/>
          <w:szCs w:val="30"/>
          <w:lang w:val="zh-CN" w:eastAsia="zh-CN" w:bidi="ar-SA"/>
        </w:rPr>
        <w:t>做小做散更加坚定，发展基础不断夯实。</w:t>
      </w:r>
    </w:p>
    <w:p>
      <w:pPr>
        <w:spacing w:line="480" w:lineRule="exact"/>
        <w:ind w:firstLine="644" w:firstLineChars="200"/>
        <w:contextualSpacing/>
        <w:rPr>
          <w:rFonts w:hint="eastAsia" w:ascii="仿宋_GB2312" w:eastAsia="仿宋_GB2312" w:cs="宋体" w:hAnsiTheme="minorHAnsi"/>
          <w:color w:val="auto"/>
          <w:kern w:val="0"/>
          <w:sz w:val="30"/>
          <w:szCs w:val="30"/>
          <w:lang w:val="zh-CN" w:eastAsia="zh-CN" w:bidi="ar-SA"/>
        </w:rPr>
      </w:pPr>
      <w:r>
        <w:rPr>
          <w:rFonts w:hint="eastAsia" w:ascii="仿宋_GB2312" w:eastAsia="仿宋_GB2312" w:cs="宋体" w:hAnsiTheme="minorHAnsi"/>
          <w:color w:val="auto"/>
          <w:kern w:val="0"/>
          <w:sz w:val="30"/>
          <w:szCs w:val="30"/>
          <w:lang w:val="zh-CN" w:eastAsia="zh-CN" w:bidi="ar-SA"/>
        </w:rPr>
        <w:t>积极落实监管政策，始终聚焦“五篇大文章”，制定年度十项重点工作，迈稳特色化、差异化步伐，持续提升支农支小的金融服务质效。至2024年末，全行实体贷款余额173.95亿元，比年初增加17.79亿元，增幅11.39%。涉农及小微企业贷款占比95%，普惠型小微企业贷款增速17.26%，普惠型农户贷款和普惠型小微企业贷款增速12.80%，普惠型涉农贷款增速11.67%，均高于各项贷款增速（剔除贴现）11.39%，均符合监管要求。</w:t>
      </w:r>
    </w:p>
    <w:p>
      <w:pPr>
        <w:spacing w:line="480" w:lineRule="exact"/>
        <w:ind w:firstLine="644" w:firstLineChars="200"/>
        <w:contextualSpacing/>
        <w:rPr>
          <w:rFonts w:hint="eastAsia" w:ascii="仿宋_GB2312" w:eastAsia="仿宋_GB2312" w:cs="宋体" w:hAnsiTheme="minorHAnsi"/>
          <w:b/>
          <w:bCs/>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3.</w:t>
      </w:r>
      <w:r>
        <w:rPr>
          <w:rFonts w:hint="eastAsia" w:ascii="仿宋_GB2312" w:eastAsia="仿宋_GB2312" w:cs="宋体" w:hAnsiTheme="minorHAnsi"/>
          <w:b/>
          <w:bCs/>
          <w:color w:val="auto"/>
          <w:kern w:val="0"/>
          <w:sz w:val="30"/>
          <w:szCs w:val="30"/>
          <w:lang w:val="zh-CN" w:eastAsia="zh-CN" w:bidi="ar-SA"/>
        </w:rPr>
        <w:t>信贷管理持续加强，资产质量持续提升。</w:t>
      </w:r>
    </w:p>
    <w:p>
      <w:pPr>
        <w:spacing w:line="480" w:lineRule="exact"/>
        <w:ind w:firstLine="631" w:firstLineChars="196"/>
        <w:jc w:val="left"/>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color w:val="auto"/>
          <w:kern w:val="0"/>
          <w:sz w:val="30"/>
          <w:szCs w:val="30"/>
          <w:lang w:val="zh-CN" w:eastAsia="zh-CN" w:bidi="ar-SA"/>
        </w:rPr>
        <w:t>在风险压力持续增大的严峻挑战下，始终坚定不移地秉持“风险前置、加强考核、严肃问责”的工作策略，全方位、多层次地开展风险防控工作。至2024年末，不良率控制在1.39%，较年初下降0.1个百分点；拨备覆盖率393%，提升7个百分点；大额贷款占比从年初23.24%下降至22.07%。</w:t>
      </w:r>
    </w:p>
    <w:p>
      <w:pPr>
        <w:spacing w:line="480" w:lineRule="exact"/>
        <w:ind w:firstLine="644" w:firstLineChars="200"/>
        <w:contextualSpacing/>
        <w:rPr>
          <w:rFonts w:hint="eastAsia" w:ascii="仿宋_GB2312" w:eastAsia="仿宋_GB2312" w:cs="宋体" w:hAnsiTheme="minorHAnsi"/>
          <w:b/>
          <w:bCs/>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 xml:space="preserve">4. </w:t>
      </w:r>
      <w:r>
        <w:rPr>
          <w:rFonts w:hint="eastAsia" w:ascii="仿宋_GB2312" w:eastAsia="仿宋_GB2312" w:cs="宋体" w:hAnsiTheme="minorHAnsi"/>
          <w:b/>
          <w:bCs/>
          <w:color w:val="auto"/>
          <w:kern w:val="0"/>
          <w:sz w:val="30"/>
          <w:szCs w:val="30"/>
          <w:lang w:val="zh-CN" w:eastAsia="zh-CN" w:bidi="ar-SA"/>
        </w:rPr>
        <w:t>利润收入稳步增长，经营收益保持稳健</w:t>
      </w:r>
      <w:r>
        <w:rPr>
          <w:rFonts w:hint="eastAsia" w:ascii="仿宋_GB2312" w:eastAsia="仿宋_GB2312" w:cs="宋体" w:hAnsiTheme="minorHAnsi"/>
          <w:b/>
          <w:bCs/>
          <w:color w:val="auto"/>
          <w:kern w:val="0"/>
          <w:sz w:val="30"/>
          <w:szCs w:val="30"/>
          <w:lang w:val="en-US" w:eastAsia="zh-CN" w:bidi="ar-SA"/>
        </w:rPr>
        <w:t>。</w:t>
      </w:r>
    </w:p>
    <w:p>
      <w:pPr>
        <w:spacing w:line="480" w:lineRule="exact"/>
        <w:ind w:firstLine="644" w:firstLineChars="200"/>
        <w:contextualSpacing/>
        <w:rPr>
          <w:rFonts w:hint="eastAsia" w:ascii="仿宋_GB2312" w:eastAsia="仿宋_GB2312" w:cs="宋体" w:hAnsiTheme="minorHAnsi"/>
          <w:color w:val="auto"/>
          <w:kern w:val="0"/>
          <w:sz w:val="30"/>
          <w:szCs w:val="30"/>
          <w:lang w:val="zh-CN" w:eastAsia="zh-CN" w:bidi="ar-SA"/>
        </w:rPr>
      </w:pPr>
      <w:r>
        <w:rPr>
          <w:rFonts w:hint="eastAsia" w:ascii="仿宋_GB2312" w:eastAsia="仿宋_GB2312" w:cs="宋体" w:hAnsiTheme="minorHAnsi"/>
          <w:color w:val="auto"/>
          <w:kern w:val="0"/>
          <w:sz w:val="30"/>
          <w:szCs w:val="30"/>
          <w:lang w:val="zh-CN" w:eastAsia="zh-CN" w:bidi="ar-SA"/>
        </w:rPr>
        <w:t>面对息差收窄的困境，坚持“增量扩面”与“降本增效”两手抓，在调整业务结构中实现效益增长。全年实现营业收入12.36亿元，同比增幅5.46%，其中：拨备前利润同比增幅10.92%，净利润同比增幅1.33%，金融增加值5.48亿，同比增幅10.6%。</w:t>
      </w:r>
    </w:p>
    <w:p>
      <w:pPr>
        <w:spacing w:line="480" w:lineRule="exact"/>
        <w:ind w:firstLine="644" w:firstLineChars="200"/>
        <w:contextualSpacing/>
        <w:rPr>
          <w:rFonts w:hint="eastAsia" w:ascii="仿宋_GB2312" w:eastAsia="仿宋_GB2312" w:cs="宋体" w:hAnsiTheme="minorHAnsi"/>
          <w:b/>
          <w:bCs/>
          <w:color w:val="auto"/>
          <w:kern w:val="0"/>
          <w:sz w:val="30"/>
          <w:szCs w:val="30"/>
          <w:lang w:val="en-US" w:eastAsia="zh-CN" w:bidi="ar-SA"/>
        </w:rPr>
      </w:pPr>
      <w:r>
        <w:rPr>
          <w:rFonts w:hint="eastAsia" w:ascii="仿宋_GB2312" w:eastAsia="仿宋_GB2312" w:cs="宋体" w:hAnsiTheme="minorHAnsi"/>
          <w:b/>
          <w:bCs/>
          <w:color w:val="auto"/>
          <w:kern w:val="0"/>
          <w:sz w:val="30"/>
          <w:szCs w:val="30"/>
          <w:lang w:val="en-US" w:eastAsia="zh-CN" w:bidi="ar-SA"/>
        </w:rPr>
        <w:t>5.</w:t>
      </w:r>
      <w:r>
        <w:rPr>
          <w:rFonts w:hint="eastAsia" w:ascii="仿宋_GB2312" w:eastAsia="仿宋_GB2312" w:cs="宋体" w:hAnsiTheme="minorHAnsi"/>
          <w:b/>
          <w:bCs/>
          <w:color w:val="auto"/>
          <w:kern w:val="0"/>
          <w:sz w:val="30"/>
          <w:szCs w:val="30"/>
          <w:lang w:val="zh-CN" w:eastAsia="zh-CN" w:bidi="ar-SA"/>
        </w:rPr>
        <w:t>零售转型有序推进，中收业务态势良好。</w:t>
      </w:r>
    </w:p>
    <w:p>
      <w:pPr>
        <w:spacing w:line="480" w:lineRule="exact"/>
        <w:ind w:firstLine="644" w:firstLineChars="200"/>
        <w:contextualSpacing/>
        <w:rPr>
          <w:rFonts w:hint="eastAsia" w:ascii="仿宋_GB2312" w:eastAsia="仿宋_GB2312" w:cs="宋体" w:hAnsiTheme="minorHAnsi"/>
          <w:color w:val="auto"/>
          <w:kern w:val="0"/>
          <w:sz w:val="30"/>
          <w:szCs w:val="30"/>
          <w:lang w:val="zh-CN" w:eastAsia="zh-CN" w:bidi="ar-SA"/>
        </w:rPr>
      </w:pPr>
      <w:r>
        <w:rPr>
          <w:rFonts w:hint="eastAsia" w:ascii="仿宋_GB2312" w:eastAsia="仿宋_GB2312" w:cs="宋体" w:hAnsiTheme="minorHAnsi"/>
          <w:color w:val="auto"/>
          <w:kern w:val="0"/>
          <w:sz w:val="30"/>
          <w:szCs w:val="30"/>
          <w:lang w:val="zh-CN" w:eastAsia="zh-CN" w:bidi="ar-SA"/>
        </w:rPr>
        <w:t>积极应对净息差缩窄影响，代销理财6.9亿元、代销保险1636万元、代销贵金属195万元，有效拓宽盈利渠道。促进长尾客群和价值客户提升，转化长尾客户1.39万户，提升AUM10万以上客户4.32万户，切实扩大优质客群规模，提升客户整体质量。</w:t>
      </w:r>
    </w:p>
    <w:p>
      <w:pPr>
        <w:spacing w:line="480" w:lineRule="exact"/>
        <w:ind w:firstLine="644" w:firstLineChars="200"/>
        <w:contextualSpacing/>
        <w:rPr>
          <w:rFonts w:hint="eastAsia" w:ascii="仿宋_GB2312" w:eastAsia="仿宋_GB2312" w:cs="宋体" w:hAnsiTheme="minorHAnsi"/>
          <w:b/>
          <w:bCs/>
          <w:color w:val="auto"/>
          <w:kern w:val="0"/>
          <w:sz w:val="30"/>
          <w:szCs w:val="30"/>
          <w:lang w:val="zh-CN" w:eastAsia="zh-CN" w:bidi="ar-SA"/>
        </w:rPr>
      </w:pPr>
      <w:r>
        <w:rPr>
          <w:rFonts w:hint="eastAsia" w:ascii="仿宋_GB2312" w:eastAsia="仿宋_GB2312" w:cs="宋体"/>
          <w:b/>
          <w:bCs/>
          <w:color w:val="auto"/>
          <w:kern w:val="0"/>
          <w:sz w:val="30"/>
          <w:szCs w:val="30"/>
          <w:lang w:val="en-US" w:eastAsia="zh-CN" w:bidi="ar-SA"/>
        </w:rPr>
        <w:t>6.</w:t>
      </w:r>
      <w:r>
        <w:rPr>
          <w:rFonts w:hint="eastAsia" w:ascii="仿宋_GB2312" w:eastAsia="仿宋_GB2312" w:cs="宋体" w:hAnsiTheme="minorHAnsi"/>
          <w:b/>
          <w:bCs/>
          <w:color w:val="auto"/>
          <w:kern w:val="0"/>
          <w:sz w:val="30"/>
          <w:szCs w:val="30"/>
          <w:lang w:val="zh-CN" w:eastAsia="zh-CN" w:bidi="ar-SA"/>
        </w:rPr>
        <w:t>完善多方共赢渠道，推动全行业务发展。</w:t>
      </w:r>
    </w:p>
    <w:p>
      <w:pPr>
        <w:spacing w:line="480" w:lineRule="exact"/>
        <w:ind w:firstLine="644" w:firstLineChars="200"/>
        <w:contextualSpacing/>
        <w:rPr>
          <w:rFonts w:hint="default" w:ascii="仿宋_GB2312" w:eastAsia="仿宋_GB2312" w:cs="宋体" w:hAnsiTheme="minorHAnsi"/>
          <w:color w:val="auto"/>
          <w:kern w:val="0"/>
          <w:sz w:val="30"/>
          <w:szCs w:val="30"/>
          <w:lang w:val="en-US" w:eastAsia="zh-CN" w:bidi="ar-SA"/>
        </w:rPr>
      </w:pPr>
      <w:r>
        <w:rPr>
          <w:rFonts w:hint="eastAsia" w:ascii="仿宋_GB2312" w:eastAsia="仿宋_GB2312" w:cs="宋体" w:hAnsiTheme="minorHAnsi"/>
          <w:color w:val="auto"/>
          <w:kern w:val="0"/>
          <w:sz w:val="30"/>
          <w:szCs w:val="30"/>
          <w:lang w:val="zh-CN" w:eastAsia="zh-CN" w:bidi="ar-SA"/>
        </w:rPr>
        <w:t>2024年总行党委先后与扬中市人民医院、扬中市医保局等部委办局签订党建共建合作协议，在不断拓展“合作版图”的同时，进一步整合数据，创新推出“先诊疗后付费”民生项目，惠泽百姓，构建完善“智”系列生态场景，换发三代社保卡17.28万张，比年初增加1.37万张，政银企民联系更加紧密，</w:t>
      </w:r>
      <w:r>
        <w:rPr>
          <w:rFonts w:hint="eastAsia" w:ascii="仿宋_GB2312" w:eastAsia="仿宋_GB2312" w:cs="宋体" w:hAnsiTheme="minorHAnsi"/>
          <w:color w:val="auto"/>
          <w:kern w:val="0"/>
          <w:sz w:val="30"/>
          <w:szCs w:val="30"/>
          <w:lang w:val="en-US" w:eastAsia="zh-CN" w:bidi="ar-SA"/>
        </w:rPr>
        <w:t>荣获2024年度扬中市高质量发展综合表彰先进集体</w:t>
      </w:r>
      <w:r>
        <w:rPr>
          <w:rFonts w:hint="eastAsia" w:ascii="仿宋_GB2312" w:eastAsia="仿宋_GB2312" w:cs="宋体" w:hAnsiTheme="minorHAnsi"/>
          <w:color w:val="auto"/>
          <w:kern w:val="0"/>
          <w:sz w:val="30"/>
          <w:szCs w:val="30"/>
          <w:lang w:val="zh-CN" w:eastAsia="zh-CN" w:bidi="ar-SA"/>
        </w:rPr>
        <w:t>。</w:t>
      </w:r>
    </w:p>
    <w:p>
      <w:pPr>
        <w:pStyle w:val="13"/>
        <w:adjustRightInd/>
        <w:spacing w:line="480" w:lineRule="exact"/>
        <w:ind w:firstLine="644" w:firstLineChars="200"/>
        <w:contextualSpacing/>
        <w:jc w:val="both"/>
        <w:rPr>
          <w:rFonts w:ascii="黑体" w:hAnsi="黑体" w:eastAsia="黑体"/>
          <w:color w:val="auto"/>
          <w:sz w:val="30"/>
          <w:szCs w:val="30"/>
        </w:rPr>
      </w:pPr>
      <w:r>
        <w:rPr>
          <w:rFonts w:hint="eastAsia" w:ascii="黑体" w:hAnsi="黑体" w:eastAsia="黑体"/>
          <w:color w:val="auto"/>
          <w:sz w:val="30"/>
          <w:szCs w:val="30"/>
        </w:rPr>
        <w:t>（二）社会责任</w:t>
      </w:r>
    </w:p>
    <w:p>
      <w:pPr>
        <w:pStyle w:val="13"/>
        <w:adjustRightInd/>
        <w:spacing w:line="480" w:lineRule="exact"/>
        <w:ind w:firstLine="644" w:firstLineChars="200"/>
        <w:contextualSpacing/>
        <w:jc w:val="both"/>
        <w:rPr>
          <w:rFonts w:ascii="仿宋_GB2312" w:eastAsia="仿宋_GB2312"/>
          <w:b/>
          <w:color w:val="auto"/>
          <w:sz w:val="30"/>
          <w:szCs w:val="30"/>
        </w:rPr>
      </w:pPr>
      <w:r>
        <w:rPr>
          <w:rFonts w:hint="eastAsia" w:ascii="仿宋_GB2312" w:eastAsia="仿宋_GB2312"/>
          <w:b/>
          <w:color w:val="auto"/>
          <w:sz w:val="30"/>
          <w:szCs w:val="30"/>
        </w:rPr>
        <w:t>1、金融消费者权益保护</w:t>
      </w:r>
    </w:p>
    <w:p>
      <w:pPr>
        <w:spacing w:line="480" w:lineRule="exact"/>
        <w:ind w:firstLine="600"/>
        <w:rPr>
          <w:rFonts w:ascii="仿宋_GB2312" w:eastAsia="仿宋_GB2312"/>
          <w:color w:val="000000"/>
          <w:spacing w:val="13"/>
          <w:sz w:val="30"/>
          <w:szCs w:val="30"/>
        </w:rPr>
      </w:pPr>
      <w:r>
        <w:rPr>
          <w:rFonts w:hint="eastAsia" w:ascii="仿宋_GB2312" w:eastAsia="仿宋_GB2312" w:cs="宋体"/>
          <w:b/>
          <w:kern w:val="0"/>
          <w:sz w:val="30"/>
          <w:szCs w:val="30"/>
        </w:rPr>
        <w:t>（1）贯彻落实消费者权益保护机制。</w:t>
      </w:r>
      <w:r>
        <w:rPr>
          <w:rFonts w:hint="eastAsia" w:ascii="仿宋_GB2312" w:eastAsia="仿宋_GB2312"/>
          <w:sz w:val="30"/>
          <w:szCs w:val="30"/>
        </w:rPr>
        <w:t>由</w:t>
      </w:r>
      <w:r>
        <w:rPr>
          <w:rFonts w:hint="eastAsia" w:ascii="仿宋_GB2312" w:eastAsia="仿宋_GB2312"/>
          <w:color w:val="000000"/>
          <w:spacing w:val="13"/>
          <w:sz w:val="30"/>
          <w:szCs w:val="30"/>
        </w:rPr>
        <w:t>消费者权益保护委员会统筹制定消费者权益保护年度工作计划，全年共召开2次会议，指导推动各项投诉管理工作深入开展。</w:t>
      </w:r>
      <w:r>
        <w:rPr>
          <w:rFonts w:hint="eastAsia" w:ascii="仿宋_GB2312" w:eastAsia="仿宋_GB2312"/>
          <w:sz w:val="30"/>
          <w:szCs w:val="30"/>
        </w:rPr>
        <w:t>制定《</w:t>
      </w:r>
      <w:r>
        <w:rPr>
          <w:rFonts w:hint="eastAsia" w:ascii="仿宋_GB2312" w:eastAsia="仿宋_GB2312"/>
          <w:sz w:val="30"/>
          <w:szCs w:val="30"/>
          <w:lang w:eastAsia="zh-CN"/>
        </w:rPr>
        <w:t>2024</w:t>
      </w:r>
      <w:r>
        <w:rPr>
          <w:rFonts w:hint="eastAsia" w:ascii="仿宋_GB2312" w:eastAsia="仿宋_GB2312"/>
          <w:sz w:val="30"/>
          <w:szCs w:val="30"/>
        </w:rPr>
        <w:t>年</w:t>
      </w:r>
      <w:r>
        <w:rPr>
          <w:rFonts w:hint="eastAsia" w:ascii="仿宋_GB2312" w:eastAsia="仿宋_GB2312"/>
          <w:sz w:val="30"/>
          <w:szCs w:val="30"/>
          <w:lang w:val="en-US" w:eastAsia="zh-CN"/>
        </w:rPr>
        <w:t>度消费者权益保护工作指导意见</w:t>
      </w:r>
      <w:r>
        <w:rPr>
          <w:rFonts w:hint="eastAsia" w:ascii="仿宋_GB2312" w:eastAsia="仿宋_GB2312"/>
          <w:sz w:val="30"/>
          <w:szCs w:val="30"/>
        </w:rPr>
        <w:t>》，明确了消费者权益保护工作考核对象、指标、方式、周期等内容，并按季考核。</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b/>
          <w:color w:val="auto"/>
          <w:sz w:val="30"/>
          <w:szCs w:val="30"/>
        </w:rPr>
        <w:t>（2）建立普惠金融工作机制。</w:t>
      </w:r>
      <w:r>
        <w:rPr>
          <w:rFonts w:hint="eastAsia" w:ascii="仿宋_GB2312" w:eastAsia="仿宋_GB2312"/>
          <w:sz w:val="30"/>
          <w:szCs w:val="30"/>
        </w:rPr>
        <w:t>积极参加并组织各支行（部）按照要求开展“3.15”金融消费者权益日、“普及金融知识 守住‘钱袋子’”、“金融知识普及月”、“防范非法集资宣传”等宣传活动及其他金融知识普及活动，并结合自身特点开展日常性宣教活动。</w:t>
      </w:r>
    </w:p>
    <w:p>
      <w:pPr>
        <w:spacing w:line="480" w:lineRule="exact"/>
        <w:ind w:firstLine="600"/>
        <w:rPr>
          <w:rFonts w:ascii="仿宋_GB2312" w:eastAsia="仿宋_GB2312"/>
          <w:sz w:val="30"/>
          <w:szCs w:val="30"/>
        </w:rPr>
      </w:pPr>
      <w:r>
        <w:rPr>
          <w:rFonts w:hint="eastAsia" w:ascii="仿宋_GB2312" w:eastAsia="仿宋_GB2312" w:cs="宋体"/>
          <w:b/>
          <w:kern w:val="0"/>
          <w:sz w:val="30"/>
          <w:szCs w:val="30"/>
        </w:rPr>
        <w:t>（3）推进全行消保宣教工作。</w:t>
      </w:r>
      <w:r>
        <w:rPr>
          <w:rFonts w:hint="eastAsia" w:ascii="仿宋_GB2312" w:hAnsi="仿宋_GB2312" w:eastAsia="仿宋_GB2312" w:cs="仿宋_GB2312"/>
          <w:sz w:val="30"/>
          <w:szCs w:val="30"/>
        </w:rPr>
        <w:t>中高层认真深入学习《</w:t>
      </w:r>
      <w:r>
        <w:rPr>
          <w:rFonts w:hint="eastAsia" w:ascii="仿宋_GB2312" w:hAnsi="微软雅黑" w:eastAsia="仿宋_GB2312" w:cs="Helvetica"/>
          <w:color w:val="000000"/>
          <w:sz w:val="30"/>
          <w:szCs w:val="30"/>
        </w:rPr>
        <w:t>银行保险机构消费者权益保护管理办法</w:t>
      </w:r>
      <w:r>
        <w:rPr>
          <w:rFonts w:hint="eastAsia" w:ascii="仿宋_GB2312" w:hAnsi="仿宋_GB2312" w:eastAsia="仿宋_GB2312" w:cs="仿宋_GB2312"/>
          <w:sz w:val="30"/>
          <w:szCs w:val="30"/>
        </w:rPr>
        <w:t>》新规，在镇江市银行</w:t>
      </w:r>
      <w:r>
        <w:rPr>
          <w:rFonts w:hint="eastAsia" w:ascii="仿宋_GB2312" w:hAnsi="仿宋_GB2312" w:eastAsia="仿宋_GB2312" w:cs="仿宋_GB2312"/>
          <w:sz w:val="30"/>
          <w:szCs w:val="30"/>
          <w:lang w:val="en-US" w:eastAsia="zh-CN"/>
        </w:rPr>
        <w:t>业</w:t>
      </w:r>
      <w:r>
        <w:rPr>
          <w:rFonts w:hint="eastAsia" w:ascii="仿宋_GB2312" w:hAnsi="仿宋_GB2312" w:eastAsia="仿宋_GB2312" w:cs="仿宋_GB2312"/>
          <w:sz w:val="30"/>
          <w:szCs w:val="30"/>
        </w:rPr>
        <w:t>协会举办的</w:t>
      </w:r>
      <w:r>
        <w:rPr>
          <w:rFonts w:hint="eastAsia" w:ascii="仿宋_GB2312" w:hAnsi="仿宋_GB2312" w:eastAsia="仿宋_GB2312" w:cs="仿宋_GB2312"/>
          <w:sz w:val="30"/>
          <w:szCs w:val="30"/>
          <w:lang w:val="en-US" w:eastAsia="zh-CN"/>
        </w:rPr>
        <w:t>消保</w:t>
      </w:r>
      <w:r>
        <w:rPr>
          <w:rFonts w:hint="eastAsia" w:ascii="仿宋_GB2312" w:hAnsi="仿宋_GB2312" w:eastAsia="仿宋_GB2312" w:cs="仿宋_GB2312"/>
          <w:sz w:val="30"/>
          <w:szCs w:val="30"/>
        </w:rPr>
        <w:t>知识竞赛活动</w:t>
      </w:r>
      <w:r>
        <w:rPr>
          <w:rFonts w:hint="eastAsia" w:ascii="仿宋_GB2312" w:hAnsi="仿宋_GB2312" w:eastAsia="仿宋_GB2312" w:cs="仿宋_GB2312"/>
          <w:sz w:val="30"/>
          <w:szCs w:val="30"/>
          <w:lang w:val="en-US" w:eastAsia="zh-CN"/>
        </w:rPr>
        <w:t>中</w:t>
      </w:r>
      <w:r>
        <w:rPr>
          <w:rFonts w:hint="eastAsia" w:ascii="仿宋_GB2312" w:hAnsi="仿宋_GB2312" w:eastAsia="仿宋_GB2312" w:cs="仿宋_GB2312"/>
          <w:sz w:val="30"/>
          <w:szCs w:val="30"/>
        </w:rPr>
        <w:t>取得先进单位</w:t>
      </w:r>
      <w:r>
        <w:rPr>
          <w:rFonts w:hint="eastAsia" w:ascii="仿宋_GB2312" w:eastAsia="仿宋_GB2312"/>
          <w:sz w:val="30"/>
          <w:szCs w:val="30"/>
        </w:rPr>
        <w:t>。全年开展了金融消费者权益保护工作培训会、营业网点服务规范培训、客户经理能力提升培训、反洗钱业务培训等一系列的培训活动。参训人员覆盖中高级管理人员、基层业务人员和新入职人员，并提高了对投诉多发、风险较高的业务岗位适当提高培训频次，促进员工消保知识与能力提升。</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b/>
          <w:color w:val="auto"/>
          <w:sz w:val="30"/>
          <w:szCs w:val="30"/>
        </w:rPr>
        <w:t>（4）优化客户投诉处理机制。</w:t>
      </w:r>
      <w:r>
        <w:rPr>
          <w:rFonts w:hint="eastAsia" w:ascii="仿宋_GB2312" w:eastAsia="仿宋_GB2312"/>
          <w:color w:val="auto"/>
          <w:sz w:val="30"/>
          <w:szCs w:val="30"/>
        </w:rPr>
        <w:t>通过典型案例、投诉情况每月分析，督促全行强化服务意识，提升服务质量，密切关注客户诉求，建立问题跟踪机制，增强源头管理，避免出现投诉矛盾升级、重复投诉等情况。</w:t>
      </w:r>
    </w:p>
    <w:p>
      <w:pPr>
        <w:pStyle w:val="13"/>
        <w:adjustRightInd/>
        <w:spacing w:line="480" w:lineRule="exact"/>
        <w:ind w:firstLine="644" w:firstLineChars="200"/>
        <w:contextualSpacing/>
        <w:jc w:val="both"/>
        <w:rPr>
          <w:rFonts w:ascii="仿宋_GB2312" w:eastAsia="仿宋_GB2312"/>
          <w:b/>
          <w:color w:val="auto"/>
          <w:sz w:val="30"/>
          <w:szCs w:val="30"/>
        </w:rPr>
      </w:pPr>
      <w:r>
        <w:rPr>
          <w:rFonts w:hint="eastAsia" w:ascii="仿宋_GB2312" w:eastAsia="仿宋_GB2312"/>
          <w:b/>
          <w:color w:val="auto"/>
          <w:sz w:val="30"/>
          <w:szCs w:val="30"/>
        </w:rPr>
        <w:t>2、社会公益</w:t>
      </w:r>
    </w:p>
    <w:p>
      <w:pPr>
        <w:pStyle w:val="13"/>
        <w:adjustRightInd/>
        <w:spacing w:line="480" w:lineRule="exact"/>
        <w:ind w:firstLine="644" w:firstLineChars="200"/>
        <w:contextualSpacing/>
        <w:jc w:val="both"/>
        <w:rPr>
          <w:rFonts w:hint="eastAsia" w:ascii="仿宋_GB2312" w:eastAsia="仿宋_GB2312" w:cs="宋体" w:hAnsiTheme="minorHAnsi"/>
          <w:color w:val="auto"/>
          <w:kern w:val="0"/>
          <w:sz w:val="30"/>
          <w:szCs w:val="30"/>
          <w:lang w:val="en-US" w:eastAsia="zh-CN" w:bidi="ar-SA"/>
        </w:rPr>
      </w:pPr>
      <w:r>
        <w:rPr>
          <w:rFonts w:hint="eastAsia" w:ascii="仿宋_GB2312" w:eastAsia="仿宋_GB2312" w:cstheme="minorBidi"/>
          <w:color w:val="auto"/>
          <w:kern w:val="2"/>
          <w:sz w:val="30"/>
          <w:szCs w:val="30"/>
        </w:rPr>
        <w:t>本行一直热心社会公益，依托金融优势，探索可持续的慈善发展道路。</w:t>
      </w:r>
      <w:r>
        <w:rPr>
          <w:rFonts w:hint="eastAsia" w:ascii="仿宋_GB2312" w:eastAsia="仿宋_GB2312" w:cs="宋体" w:hAnsiTheme="minorHAnsi"/>
          <w:color w:val="auto"/>
          <w:kern w:val="0"/>
          <w:sz w:val="30"/>
          <w:szCs w:val="30"/>
          <w:lang w:val="en-US" w:eastAsia="zh-CN" w:bidi="ar-SA"/>
        </w:rPr>
        <w:t>2024年，工会积极参与社会公益活动，履行社会公益责任，开展多种形式的志愿服务活动。工会会同团委，与麦田慈善基金会在吾悦广场组织开展了“龙年行大运</w:t>
      </w:r>
      <w:r>
        <w:rPr>
          <w:rFonts w:hint="eastAsia" w:ascii="仿宋_GB2312" w:eastAsia="仿宋_GB2312" w:cs="宋体"/>
          <w:color w:val="auto"/>
          <w:kern w:val="0"/>
          <w:sz w:val="30"/>
          <w:szCs w:val="30"/>
          <w:lang w:val="en-US" w:eastAsia="zh-CN" w:bidi="ar-SA"/>
        </w:rPr>
        <w:t xml:space="preserve"> </w:t>
      </w:r>
      <w:r>
        <w:rPr>
          <w:rFonts w:hint="eastAsia" w:ascii="仿宋_GB2312" w:eastAsia="仿宋_GB2312" w:cs="宋体" w:hAnsiTheme="minorHAnsi"/>
          <w:color w:val="auto"/>
          <w:kern w:val="0"/>
          <w:sz w:val="30"/>
          <w:szCs w:val="30"/>
          <w:lang w:val="en-US" w:eastAsia="zh-CN" w:bidi="ar-SA"/>
        </w:rPr>
        <w:t>欢喜闹元宵”公益活动，现场组织贫困学生及家长一起制作形态各异的花灯；3月12日，工会联合团委、党群部组织25名党员志愿者赴森羽农场开展“‘植’此一片新绿，共‘树’农商未来”公益植树活动；5月，工会与团委共同组织参加“520荧光夜跑”公益活动，捐献爱心善款2000元；10月，工会组织职工方阵参加“一双球鞋的暴走”公益健步行活动，资助3000元用于贫困学生捐助事业，体现了“奉献、友爱、互助、进步”的志愿服务精神；11月，工会积极参与市慈善总会2024年“慈善一日捐”活动，全行干部职工共计捐款3.19万元。 工会全年累计为公益事业捐赠金额达8.36万元。</w:t>
      </w:r>
    </w:p>
    <w:p>
      <w:pPr>
        <w:spacing w:line="480" w:lineRule="exact"/>
        <w:ind w:firstLine="645"/>
        <w:contextualSpacing/>
        <w:rPr>
          <w:rFonts w:ascii="仿宋_GB2312" w:eastAsia="仿宋_GB2312"/>
          <w:b/>
          <w:sz w:val="30"/>
          <w:szCs w:val="30"/>
        </w:rPr>
      </w:pPr>
      <w:r>
        <w:rPr>
          <w:rFonts w:hint="eastAsia" w:ascii="仿宋_GB2312" w:eastAsia="仿宋_GB2312"/>
          <w:b/>
          <w:sz w:val="30"/>
          <w:szCs w:val="30"/>
        </w:rPr>
        <w:t>3、队伍建设</w:t>
      </w:r>
    </w:p>
    <w:p>
      <w:pPr>
        <w:pStyle w:val="13"/>
        <w:adjustRightInd/>
        <w:spacing w:line="480" w:lineRule="exact"/>
        <w:ind w:firstLine="644" w:firstLineChars="200"/>
        <w:contextualSpacing/>
        <w:jc w:val="both"/>
        <w:rPr>
          <w:rFonts w:ascii="仿宋_GB2312" w:eastAsia="仿宋_GB2312"/>
          <w:b/>
          <w:color w:val="auto"/>
          <w:sz w:val="30"/>
          <w:szCs w:val="30"/>
        </w:rPr>
      </w:pPr>
      <w:r>
        <w:rPr>
          <w:rFonts w:hint="eastAsia" w:ascii="仿宋_GB2312" w:eastAsia="仿宋_GB2312"/>
          <w:b/>
          <w:color w:val="auto"/>
          <w:sz w:val="30"/>
          <w:szCs w:val="30"/>
        </w:rPr>
        <w:t>（1）注重员工权益保障</w:t>
      </w:r>
    </w:p>
    <w:p>
      <w:pPr>
        <w:pStyle w:val="13"/>
        <w:adjustRightInd/>
        <w:spacing w:line="480" w:lineRule="exact"/>
        <w:ind w:firstLine="644" w:firstLineChars="200"/>
        <w:contextualSpacing/>
        <w:jc w:val="both"/>
        <w:rPr>
          <w:rFonts w:ascii="仿宋_GB2312" w:eastAsia="仿宋_GB2312"/>
          <w:color w:val="auto"/>
          <w:sz w:val="30"/>
          <w:szCs w:val="30"/>
        </w:rPr>
      </w:pPr>
      <w:r>
        <w:rPr>
          <w:rFonts w:hint="eastAsia" w:ascii="仿宋_GB2312" w:eastAsia="仿宋_GB2312"/>
          <w:color w:val="auto"/>
          <w:sz w:val="30"/>
          <w:szCs w:val="30"/>
          <w:lang w:eastAsia="zh-CN"/>
        </w:rPr>
        <w:t>2024</w:t>
      </w:r>
      <w:r>
        <w:rPr>
          <w:rFonts w:hint="eastAsia" w:ascii="仿宋_GB2312" w:eastAsia="仿宋_GB2312"/>
          <w:color w:val="auto"/>
          <w:sz w:val="30"/>
          <w:szCs w:val="30"/>
        </w:rPr>
        <w:t>年，本行认真贯彻落实《劳动合同法》，构建和谐劳动关系，职工劳动合同签约率达100%。本行不断完善员工薪酬福利体系，为员工购买补充医疗保险，进一步保障员工福利待遇。</w:t>
      </w:r>
    </w:p>
    <w:p>
      <w:pPr>
        <w:pStyle w:val="13"/>
        <w:adjustRightInd/>
        <w:spacing w:line="480" w:lineRule="exact"/>
        <w:ind w:firstLine="644" w:firstLineChars="200"/>
        <w:contextualSpacing/>
        <w:jc w:val="both"/>
        <w:rPr>
          <w:rFonts w:ascii="仿宋_GB2312" w:eastAsia="仿宋_GB2312"/>
          <w:b/>
          <w:color w:val="auto"/>
          <w:sz w:val="30"/>
          <w:szCs w:val="30"/>
        </w:rPr>
      </w:pPr>
      <w:r>
        <w:rPr>
          <w:rFonts w:hint="eastAsia" w:ascii="仿宋_GB2312" w:eastAsia="仿宋_GB2312"/>
          <w:b/>
          <w:color w:val="auto"/>
          <w:sz w:val="30"/>
          <w:szCs w:val="30"/>
        </w:rPr>
        <w:t>（2）注重人才梯队建设</w:t>
      </w:r>
    </w:p>
    <w:p>
      <w:pPr>
        <w:spacing w:line="560" w:lineRule="exact"/>
        <w:ind w:firstLine="630"/>
        <w:jc w:val="both"/>
        <w:rPr>
          <w:rFonts w:hint="eastAsia" w:ascii="仿宋_GB2312" w:hAnsi="仿宋" w:eastAsia="仿宋_GB2312"/>
          <w:sz w:val="30"/>
          <w:szCs w:val="30"/>
        </w:rPr>
      </w:pPr>
      <w:r>
        <w:rPr>
          <w:rFonts w:hint="eastAsia" w:ascii="仿宋_GB2312" w:hAnsi="仿宋" w:eastAsia="仿宋_GB2312"/>
          <w:sz w:val="30"/>
          <w:szCs w:val="30"/>
        </w:rPr>
        <w:t>坚持用战略眼光看待人才工作，提出“人才强行”战略，持续扩大引才渠道，持续推进后备人才选拔计划，开展后备人才库建设，</w:t>
      </w:r>
      <w:r>
        <w:rPr>
          <w:rFonts w:hint="eastAsia" w:ascii="仿宋_GB2312" w:hAnsi="仿宋_GB2312" w:eastAsia="仿宋_GB2312" w:cs="仿宋_GB2312"/>
          <w:sz w:val="30"/>
          <w:szCs w:val="30"/>
        </w:rPr>
        <w:t>常态化开展骨干员工上派下挂、实战PK、多岗锤炼，</w:t>
      </w:r>
      <w:r>
        <w:rPr>
          <w:rFonts w:hint="eastAsia" w:ascii="仿宋_GB2312" w:hAnsi="仿宋" w:eastAsia="仿宋_GB2312"/>
          <w:sz w:val="30"/>
          <w:szCs w:val="30"/>
        </w:rPr>
        <w:t>为全行转型发展集聚人才储备力量。</w:t>
      </w:r>
      <w:r>
        <w:rPr>
          <w:rFonts w:hint="eastAsia" w:ascii="仿宋_GB2312" w:hAnsi="仿宋" w:eastAsia="仿宋_GB2312"/>
          <w:sz w:val="30"/>
          <w:szCs w:val="30"/>
          <w:lang w:val="en-US" w:eastAsia="zh-CN"/>
        </w:rPr>
        <w:t>建立健全“</w:t>
      </w:r>
      <w:r>
        <w:rPr>
          <w:rFonts w:hint="eastAsia" w:ascii="仿宋_GB2312" w:hAnsi="仿宋" w:eastAsia="仿宋_GB2312"/>
          <w:sz w:val="30"/>
          <w:szCs w:val="30"/>
        </w:rPr>
        <w:t>星梦”新晋员工</w:t>
      </w:r>
      <w:r>
        <w:rPr>
          <w:rFonts w:hint="eastAsia" w:ascii="仿宋_GB2312" w:hAnsi="仿宋" w:eastAsia="仿宋_GB2312"/>
          <w:sz w:val="30"/>
          <w:szCs w:val="30"/>
          <w:lang w:eastAsia="zh-CN"/>
        </w:rPr>
        <w:t>、</w:t>
      </w:r>
      <w:r>
        <w:rPr>
          <w:rFonts w:hint="eastAsia" w:ascii="仿宋_GB2312" w:hAnsi="仿宋" w:eastAsia="仿宋_GB2312"/>
          <w:sz w:val="30"/>
          <w:szCs w:val="30"/>
        </w:rPr>
        <w:t>“星耀”管理序列</w:t>
      </w:r>
      <w:r>
        <w:rPr>
          <w:rFonts w:hint="eastAsia" w:ascii="仿宋_GB2312" w:hAnsi="仿宋" w:eastAsia="仿宋_GB2312"/>
          <w:sz w:val="30"/>
          <w:szCs w:val="30"/>
          <w:lang w:eastAsia="zh-CN"/>
        </w:rPr>
        <w:t>、</w:t>
      </w:r>
      <w:r>
        <w:rPr>
          <w:rFonts w:hint="eastAsia" w:ascii="仿宋_GB2312" w:hAnsi="仿宋" w:eastAsia="仿宋_GB2312"/>
          <w:sz w:val="30"/>
          <w:szCs w:val="30"/>
        </w:rPr>
        <w:t>“星闪”专业序列</w:t>
      </w:r>
      <w:r>
        <w:rPr>
          <w:rFonts w:hint="eastAsia" w:ascii="仿宋_GB2312" w:hAnsi="仿宋" w:eastAsia="仿宋_GB2312"/>
          <w:sz w:val="30"/>
          <w:szCs w:val="30"/>
          <w:lang w:val="en-US" w:eastAsia="zh-CN"/>
        </w:rPr>
        <w:t>三大</w:t>
      </w:r>
      <w:r>
        <w:rPr>
          <w:rFonts w:hint="eastAsia" w:ascii="仿宋_GB2312" w:hAnsi="仿宋" w:eastAsia="仿宋_GB2312"/>
          <w:sz w:val="30"/>
          <w:szCs w:val="30"/>
        </w:rPr>
        <w:t>培养</w:t>
      </w:r>
      <w:r>
        <w:rPr>
          <w:rFonts w:hint="eastAsia" w:ascii="仿宋_GB2312" w:hAnsi="仿宋" w:eastAsia="仿宋_GB2312"/>
          <w:sz w:val="30"/>
          <w:szCs w:val="30"/>
          <w:lang w:val="en-US" w:eastAsia="zh-CN"/>
        </w:rPr>
        <w:t>计划体系，启动条线轮训、“追光”团队后备人才培养等项目，</w:t>
      </w:r>
      <w:r>
        <w:rPr>
          <w:rFonts w:hint="eastAsia" w:ascii="仿宋_GB2312" w:hAnsi="仿宋" w:eastAsia="仿宋_GB2312"/>
          <w:sz w:val="30"/>
          <w:szCs w:val="30"/>
        </w:rPr>
        <w:t>进一步帮助全行干部员工提升素养、</w:t>
      </w:r>
      <w:r>
        <w:rPr>
          <w:rFonts w:hint="eastAsia" w:ascii="仿宋_GB2312" w:hAnsi="仿宋" w:eastAsia="仿宋_GB2312"/>
          <w:sz w:val="30"/>
          <w:szCs w:val="30"/>
          <w:lang w:val="en-US" w:eastAsia="zh-CN"/>
        </w:rPr>
        <w:t>锤炼本领</w:t>
      </w:r>
      <w:r>
        <w:rPr>
          <w:rFonts w:hint="eastAsia" w:ascii="仿宋_GB2312" w:hAnsi="仿宋" w:eastAsia="仿宋_GB2312"/>
          <w:sz w:val="30"/>
          <w:szCs w:val="30"/>
        </w:rPr>
        <w:t>、坚定信心。</w:t>
      </w:r>
    </w:p>
    <w:p>
      <w:pPr>
        <w:pStyle w:val="13"/>
        <w:adjustRightInd/>
        <w:spacing w:line="480" w:lineRule="exact"/>
        <w:ind w:firstLine="644" w:firstLineChars="200"/>
        <w:contextualSpacing/>
        <w:jc w:val="both"/>
        <w:rPr>
          <w:rFonts w:ascii="仿宋_GB2312" w:eastAsia="仿宋_GB2312" w:cstheme="minorBidi"/>
          <w:b/>
          <w:color w:val="auto"/>
          <w:sz w:val="30"/>
          <w:szCs w:val="30"/>
        </w:rPr>
      </w:pPr>
      <w:r>
        <w:rPr>
          <w:rFonts w:hint="eastAsia" w:ascii="仿宋_GB2312" w:hAnsi="仿宋" w:eastAsia="仿宋_GB2312"/>
          <w:b/>
          <w:sz w:val="30"/>
          <w:szCs w:val="30"/>
          <w:lang w:val="en-US" w:eastAsia="zh-CN"/>
        </w:rPr>
        <w:t xml:space="preserve"> </w:t>
      </w:r>
      <w:r>
        <w:rPr>
          <w:rFonts w:hint="eastAsia" w:ascii="仿宋_GB2312" w:eastAsia="仿宋_GB2312" w:cstheme="minorBidi"/>
          <w:b/>
          <w:color w:val="auto"/>
          <w:sz w:val="30"/>
          <w:szCs w:val="30"/>
        </w:rPr>
        <w:t>（3）完善考核激励机制</w:t>
      </w:r>
    </w:p>
    <w:p>
      <w:pPr>
        <w:pStyle w:val="13"/>
        <w:adjustRightInd/>
        <w:spacing w:line="480" w:lineRule="exact"/>
        <w:ind w:firstLine="644" w:firstLineChars="200"/>
        <w:contextualSpacing/>
        <w:jc w:val="both"/>
        <w:rPr>
          <w:rFonts w:ascii="仿宋_GB2312" w:eastAsia="仿宋_GB2312" w:cstheme="minorBidi"/>
          <w:color w:val="auto"/>
          <w:sz w:val="30"/>
          <w:szCs w:val="30"/>
        </w:rPr>
      </w:pPr>
      <w:r>
        <w:rPr>
          <w:rFonts w:hint="eastAsia" w:ascii="仿宋_GB2312" w:eastAsia="仿宋_GB2312" w:cstheme="minorBidi"/>
          <w:color w:val="auto"/>
          <w:sz w:val="30"/>
          <w:szCs w:val="30"/>
        </w:rPr>
        <w:t>本行遵循科学和效率原则，围绕全年工作计划，制定覆盖各条线各岗位的任务目标和考核方案。建立以岗位价值为核心，以员工履职能力和工作业绩为依据的薪酬分配机制，引导员工讲究岗位奉献，关注自身专业能力发展，实现个人提升与企业发展的同步增长。同时，建立人才任职资格等级体系，充分发挥薪酬激励作用，有效调动人力资源绩效提升。</w:t>
      </w:r>
    </w:p>
    <w:p>
      <w:pPr>
        <w:pStyle w:val="13"/>
        <w:adjustRightInd/>
        <w:spacing w:line="480" w:lineRule="exact"/>
        <w:ind w:firstLine="644" w:firstLineChars="200"/>
        <w:contextualSpacing/>
        <w:jc w:val="both"/>
        <w:rPr>
          <w:rFonts w:ascii="仿宋_GB2312" w:eastAsia="仿宋_GB2312" w:cstheme="minorBidi"/>
          <w:b/>
          <w:color w:val="auto"/>
          <w:sz w:val="30"/>
          <w:szCs w:val="30"/>
        </w:rPr>
      </w:pPr>
      <w:r>
        <w:rPr>
          <w:rFonts w:hint="eastAsia" w:ascii="仿宋_GB2312" w:eastAsia="仿宋_GB2312" w:cstheme="minorBidi"/>
          <w:b/>
          <w:color w:val="auto"/>
          <w:sz w:val="30"/>
          <w:szCs w:val="30"/>
        </w:rPr>
        <w:t>（4）提升员工幸福指数</w:t>
      </w:r>
    </w:p>
    <w:p>
      <w:pPr>
        <w:spacing w:line="520" w:lineRule="exact"/>
        <w:ind w:firstLine="645"/>
        <w:rPr>
          <w:rFonts w:hint="eastAsia" w:ascii="仿宋_GB2312" w:eastAsia="仿宋_GB2312" w:hAnsiTheme="minorHAnsi" w:cstheme="minorBidi"/>
          <w:color w:val="auto"/>
          <w:kern w:val="0"/>
          <w:sz w:val="30"/>
          <w:szCs w:val="30"/>
          <w:lang w:val="en-US" w:eastAsia="zh-CN" w:bidi="ar-SA"/>
        </w:rPr>
      </w:pPr>
      <w:r>
        <w:rPr>
          <w:rFonts w:hint="eastAsia" w:ascii="仿宋_GB2312" w:eastAsia="仿宋_GB2312" w:cstheme="minorBidi"/>
          <w:b/>
          <w:bCs/>
          <w:color w:val="auto"/>
          <w:kern w:val="0"/>
          <w:sz w:val="30"/>
          <w:szCs w:val="30"/>
          <w:lang w:val="en-US" w:eastAsia="zh-CN" w:bidi="ar-SA"/>
        </w:rPr>
        <w:t>一是</w:t>
      </w:r>
      <w:r>
        <w:rPr>
          <w:rFonts w:hint="eastAsia" w:ascii="仿宋_GB2312" w:eastAsia="仿宋_GB2312" w:hAnsiTheme="minorHAnsi" w:cstheme="minorBidi"/>
          <w:b/>
          <w:bCs/>
          <w:color w:val="auto"/>
          <w:kern w:val="0"/>
          <w:sz w:val="30"/>
          <w:szCs w:val="30"/>
          <w:lang w:val="en-US" w:eastAsia="zh-CN" w:bidi="ar-SA"/>
        </w:rPr>
        <w:t>参加全省职运会，推动职工健身活动。</w:t>
      </w:r>
      <w:r>
        <w:rPr>
          <w:rFonts w:hint="eastAsia" w:ascii="仿宋_GB2312" w:eastAsia="仿宋_GB2312" w:hAnsiTheme="minorHAnsi" w:cstheme="minorBidi"/>
          <w:color w:val="auto"/>
          <w:kern w:val="0"/>
          <w:sz w:val="30"/>
          <w:szCs w:val="30"/>
          <w:lang w:val="en-US" w:eastAsia="zh-CN" w:bidi="ar-SA"/>
        </w:rPr>
        <w:t>为丰富职工文体生活，进一步提高职工队伍向心力和凝聚力，工会认真组织、精心安排，</w:t>
      </w:r>
      <w:r>
        <w:rPr>
          <w:rFonts w:hint="eastAsia" w:ascii="仿宋_GB2312" w:eastAsia="仿宋_GB2312" w:cstheme="minorBidi"/>
          <w:color w:val="auto"/>
          <w:kern w:val="0"/>
          <w:sz w:val="30"/>
          <w:szCs w:val="30"/>
          <w:lang w:val="en-US" w:eastAsia="zh-CN" w:bidi="ar-SA"/>
        </w:rPr>
        <w:t>积极参加</w:t>
      </w:r>
      <w:r>
        <w:rPr>
          <w:rFonts w:hint="eastAsia" w:ascii="仿宋_GB2312" w:eastAsia="仿宋_GB2312" w:hAnsiTheme="minorHAnsi" w:cstheme="minorBidi"/>
          <w:color w:val="auto"/>
          <w:kern w:val="0"/>
          <w:sz w:val="30"/>
          <w:szCs w:val="30"/>
          <w:lang w:val="en-US" w:eastAsia="zh-CN" w:bidi="ar-SA"/>
        </w:rPr>
        <w:t>省联社于8-11月举行</w:t>
      </w:r>
      <w:r>
        <w:rPr>
          <w:rFonts w:hint="eastAsia" w:ascii="仿宋_GB2312" w:eastAsia="仿宋_GB2312" w:cstheme="minorBidi"/>
          <w:color w:val="auto"/>
          <w:kern w:val="0"/>
          <w:sz w:val="30"/>
          <w:szCs w:val="30"/>
          <w:lang w:val="en-US" w:eastAsia="zh-CN" w:bidi="ar-SA"/>
        </w:rPr>
        <w:t>的</w:t>
      </w:r>
      <w:r>
        <w:rPr>
          <w:rFonts w:hint="eastAsia" w:ascii="仿宋_GB2312" w:eastAsia="仿宋_GB2312" w:hAnsiTheme="minorHAnsi" w:cstheme="minorBidi"/>
          <w:color w:val="auto"/>
          <w:kern w:val="0"/>
          <w:sz w:val="30"/>
          <w:szCs w:val="30"/>
          <w:lang w:val="en-US" w:eastAsia="zh-CN" w:bidi="ar-SA"/>
        </w:rPr>
        <w:t>2024年职工运动会，共组织10人参加团体操方阵的排练及表演，10人参加镇江地区方阵的排练及表演，52人参加了前期的预赛（篮球、乒乓球、羽毛球）及11月2-3日的正式比赛</w:t>
      </w:r>
      <w:r>
        <w:rPr>
          <w:rFonts w:hint="eastAsia" w:ascii="仿宋_GB2312" w:eastAsia="仿宋_GB2312" w:cstheme="minorBidi"/>
          <w:color w:val="auto"/>
          <w:kern w:val="0"/>
          <w:sz w:val="30"/>
          <w:szCs w:val="30"/>
          <w:lang w:val="en-US" w:eastAsia="zh-CN" w:bidi="ar-SA"/>
        </w:rPr>
        <w:t>，我行一</w:t>
      </w:r>
      <w:r>
        <w:rPr>
          <w:rFonts w:hint="eastAsia" w:ascii="仿宋_GB2312" w:eastAsia="仿宋_GB2312" w:hAnsiTheme="minorHAnsi" w:cstheme="minorBidi"/>
          <w:color w:val="auto"/>
          <w:kern w:val="0"/>
          <w:sz w:val="30"/>
          <w:szCs w:val="30"/>
          <w:lang w:val="en-US" w:eastAsia="zh-CN" w:bidi="ar-SA"/>
        </w:rPr>
        <w:t>名运动员在镇江地区羽毛球预赛第一出线，参加了全省复赛</w:t>
      </w:r>
      <w:r>
        <w:rPr>
          <w:rFonts w:hint="eastAsia" w:ascii="仿宋_GB2312" w:eastAsia="仿宋_GB2312" w:cstheme="minorBidi"/>
          <w:color w:val="auto"/>
          <w:kern w:val="0"/>
          <w:sz w:val="30"/>
          <w:szCs w:val="30"/>
          <w:lang w:val="en-US" w:eastAsia="zh-CN" w:bidi="ar-SA"/>
        </w:rPr>
        <w:t>；我行代表队</w:t>
      </w:r>
      <w:r>
        <w:rPr>
          <w:rFonts w:hint="eastAsia" w:ascii="仿宋_GB2312" w:eastAsia="仿宋_GB2312" w:hAnsiTheme="minorHAnsi" w:cstheme="minorBidi"/>
          <w:color w:val="auto"/>
          <w:kern w:val="0"/>
          <w:sz w:val="30"/>
          <w:szCs w:val="30"/>
          <w:lang w:val="en-US" w:eastAsia="zh-CN" w:bidi="ar-SA"/>
        </w:rPr>
        <w:t>取得</w:t>
      </w:r>
      <w:r>
        <w:rPr>
          <w:rFonts w:hint="eastAsia" w:ascii="仿宋_GB2312" w:eastAsia="仿宋_GB2312" w:cstheme="minorBidi"/>
          <w:color w:val="auto"/>
          <w:kern w:val="0"/>
          <w:sz w:val="30"/>
          <w:szCs w:val="30"/>
          <w:lang w:val="en-US" w:eastAsia="zh-CN" w:bidi="ar-SA"/>
        </w:rPr>
        <w:t>了</w:t>
      </w:r>
      <w:r>
        <w:rPr>
          <w:rFonts w:hint="eastAsia" w:ascii="仿宋_GB2312" w:eastAsia="仿宋_GB2312" w:hAnsiTheme="minorHAnsi" w:cstheme="minorBidi"/>
          <w:color w:val="auto"/>
          <w:kern w:val="0"/>
          <w:sz w:val="30"/>
          <w:szCs w:val="30"/>
          <w:lang w:val="en-US" w:eastAsia="zh-CN" w:bidi="ar-SA"/>
        </w:rPr>
        <w:t>趣味类比赛“时来运转”项目第一名，“共谱新篇”项目第五名，拔河队通过两轮胜出，历史性的进入了全省前16名</w:t>
      </w:r>
      <w:r>
        <w:rPr>
          <w:rFonts w:hint="eastAsia" w:ascii="仿宋_GB2312" w:eastAsia="仿宋_GB2312" w:cstheme="minorBidi"/>
          <w:color w:val="auto"/>
          <w:kern w:val="0"/>
          <w:sz w:val="30"/>
          <w:szCs w:val="30"/>
          <w:lang w:val="en-US" w:eastAsia="zh-CN" w:bidi="ar-SA"/>
        </w:rPr>
        <w:t>。</w:t>
      </w:r>
      <w:r>
        <w:rPr>
          <w:rFonts w:hint="eastAsia" w:ascii="仿宋_GB2312" w:eastAsia="仿宋_GB2312" w:hAnsiTheme="minorHAnsi" w:cstheme="minorBidi"/>
          <w:color w:val="auto"/>
          <w:kern w:val="0"/>
          <w:sz w:val="30"/>
          <w:szCs w:val="30"/>
          <w:lang w:val="en-US" w:eastAsia="zh-CN" w:bidi="ar-SA"/>
        </w:rPr>
        <w:t>整个运动会融竞技、娱乐、配合于一体，参赛的全体运动员表现出良好的竞技状态与精神风貌。</w:t>
      </w:r>
    </w:p>
    <w:p>
      <w:pPr>
        <w:adjustRightInd w:val="0"/>
        <w:snapToGrid w:val="0"/>
        <w:spacing w:line="520" w:lineRule="exact"/>
        <w:ind w:firstLine="644" w:firstLineChars="200"/>
        <w:outlineLvl w:val="0"/>
        <w:rPr>
          <w:rFonts w:hint="eastAsia" w:ascii="仿宋_GB2312" w:eastAsia="仿宋_GB2312" w:hAnsiTheme="minorHAnsi" w:cstheme="minorBidi"/>
          <w:color w:val="auto"/>
          <w:kern w:val="0"/>
          <w:sz w:val="30"/>
          <w:szCs w:val="30"/>
          <w:lang w:val="en-US" w:eastAsia="zh-CN" w:bidi="ar-SA"/>
        </w:rPr>
      </w:pPr>
      <w:r>
        <w:rPr>
          <w:rFonts w:hint="eastAsia" w:ascii="仿宋_GB2312" w:eastAsia="仿宋_GB2312" w:cstheme="minorBidi"/>
          <w:b/>
          <w:bCs/>
          <w:color w:val="auto"/>
          <w:kern w:val="0"/>
          <w:sz w:val="30"/>
          <w:szCs w:val="30"/>
          <w:lang w:val="en-US" w:eastAsia="zh-CN" w:bidi="ar-SA"/>
        </w:rPr>
        <w:t>二是</w:t>
      </w:r>
      <w:r>
        <w:rPr>
          <w:rFonts w:hint="eastAsia" w:ascii="仿宋_GB2312" w:eastAsia="仿宋_GB2312" w:hAnsiTheme="minorHAnsi" w:cstheme="minorBidi"/>
          <w:b/>
          <w:bCs/>
          <w:color w:val="auto"/>
          <w:kern w:val="0"/>
          <w:sz w:val="30"/>
          <w:szCs w:val="30"/>
          <w:lang w:val="en-US" w:eastAsia="zh-CN" w:bidi="ar-SA"/>
        </w:rPr>
        <w:t>提振“精气神”，丰富职工文化生活。</w:t>
      </w:r>
      <w:r>
        <w:rPr>
          <w:rFonts w:hint="eastAsia" w:ascii="仿宋_GB2312" w:eastAsia="仿宋_GB2312" w:hAnsiTheme="minorHAnsi" w:cstheme="minorBidi"/>
          <w:color w:val="auto"/>
          <w:kern w:val="0"/>
          <w:sz w:val="30"/>
          <w:szCs w:val="30"/>
          <w:lang w:val="en-US" w:eastAsia="zh-CN" w:bidi="ar-SA"/>
        </w:rPr>
        <w:t>工会富有成效地开展具有本行特色员工活动，振奋员工精神。4月举办了“精英聚焦 龙行天下”第三届职工电子竞技比赛，以“技”会友，增强青年员工的沟通交流；6月，工会与团委共同组织“童心绘童年”主题亲子活动，邀请客户、本行职工及子女30余人共同参加，寓教于乐，受到孩子及家长们的一致好评；7月，工会会同党群部、团委，开展纪念建党103周年演讲及歌咏比赛，通过演讲比赛及歌咏比赛，感悟信仰力量，凝聚奋进力量；8月，工会开展职工羽毛球比赛，通过比赛，活跃职工业余文体生活，选拔参加镇江市银协及省联社职工运动会比赛人员；10月，工会与团委共同举办“践行‘四敢’正当时 ‘青’尽全力续华章”主题征文活动，共收到征文稿件35篇，最终评出一等奖1名，二等奖2名，三等奖3名；11月，开展对“时代变化那些事儿”员工书画摄影剪纸大赛参赛作品的评选，评出摄影优秀奖3人、剪纸优秀奖3人。通过开展形式多样的文体活动，进一步增进职工之间的沟通交流，提升团队凝心聚力，营造团结向上的良好氛围。</w:t>
      </w:r>
    </w:p>
    <w:p>
      <w:pPr>
        <w:spacing w:line="520" w:lineRule="exact"/>
        <w:ind w:firstLine="645"/>
        <w:rPr>
          <w:rFonts w:hint="eastAsia" w:ascii="仿宋_GB2312" w:eastAsia="仿宋_GB2312" w:hAnsiTheme="minorHAnsi" w:cstheme="minorBidi"/>
          <w:color w:val="auto"/>
          <w:kern w:val="0"/>
          <w:sz w:val="30"/>
          <w:szCs w:val="30"/>
          <w:lang w:val="en-US" w:eastAsia="zh-CN" w:bidi="ar-SA"/>
        </w:rPr>
      </w:pPr>
      <w:r>
        <w:rPr>
          <w:rFonts w:hint="eastAsia" w:ascii="仿宋_GB2312" w:eastAsia="仿宋_GB2312" w:cstheme="minorBidi"/>
          <w:b/>
          <w:bCs/>
          <w:color w:val="auto"/>
          <w:kern w:val="0"/>
          <w:sz w:val="30"/>
          <w:szCs w:val="30"/>
          <w:lang w:val="en-US" w:eastAsia="zh-CN" w:bidi="ar-SA"/>
        </w:rPr>
        <w:t>三是</w:t>
      </w:r>
      <w:r>
        <w:rPr>
          <w:rFonts w:hint="eastAsia" w:ascii="仿宋_GB2312" w:eastAsia="仿宋_GB2312" w:hAnsiTheme="minorHAnsi" w:cstheme="minorBidi"/>
          <w:b/>
          <w:bCs/>
          <w:color w:val="auto"/>
          <w:kern w:val="0"/>
          <w:sz w:val="30"/>
          <w:szCs w:val="30"/>
          <w:lang w:val="en-US" w:eastAsia="zh-CN" w:bidi="ar-SA"/>
        </w:rPr>
        <w:t>积极“走出去”，全面展示企业形象。</w:t>
      </w:r>
      <w:r>
        <w:rPr>
          <w:rFonts w:hint="eastAsia" w:ascii="仿宋_GB2312" w:eastAsia="仿宋_GB2312" w:hAnsiTheme="minorHAnsi" w:cstheme="minorBidi"/>
          <w:color w:val="auto"/>
          <w:kern w:val="0"/>
          <w:sz w:val="30"/>
          <w:szCs w:val="30"/>
          <w:lang w:val="en-US" w:eastAsia="zh-CN" w:bidi="ar-SA"/>
        </w:rPr>
        <w:t>2024年，工会多次组织职工选手和员工参加各类赛事活动，取得较好成绩：5月份，工会组队参加镇江银保杯第二届趣味运动会，取得团体一等奖的优异成绩；10月，工会组队参加银行业协会第二届“银保杯”羽毛球比赛，获得男单、男双、混双三个单项小组出线的历史最好成绩； 11月，工会组队参加扬中市金融行业协会乒乓球比赛，取得男子个人三等奖的佳绩。通过一系列活动的开展，有力展现了我行员工昂扬向上的精神风貌和积极进取的企业风采，提升了本行品牌形象和社会影响力。</w:t>
      </w:r>
    </w:p>
    <w:p>
      <w:pPr>
        <w:spacing w:line="480" w:lineRule="exact"/>
        <w:ind w:firstLine="644" w:firstLineChars="200"/>
        <w:contextualSpacing/>
        <w:rPr>
          <w:rFonts w:ascii="黑体" w:hAnsi="黑体" w:eastAsia="黑体"/>
          <w:sz w:val="30"/>
          <w:szCs w:val="30"/>
        </w:rPr>
      </w:pPr>
      <w:r>
        <w:rPr>
          <w:rFonts w:hint="eastAsia" w:ascii="黑体" w:hAnsi="黑体" w:eastAsia="黑体"/>
          <w:sz w:val="30"/>
          <w:szCs w:val="30"/>
        </w:rPr>
        <w:t>（三）环保责任</w:t>
      </w:r>
    </w:p>
    <w:p>
      <w:pPr>
        <w:pStyle w:val="13"/>
        <w:adjustRightInd/>
        <w:spacing w:line="480" w:lineRule="exact"/>
        <w:ind w:firstLine="644" w:firstLineChars="200"/>
        <w:contextualSpacing/>
        <w:jc w:val="both"/>
        <w:rPr>
          <w:rFonts w:ascii="仿宋_GB2312" w:eastAsia="仿宋_GB2312" w:cstheme="minorBidi"/>
          <w:b/>
          <w:color w:val="auto"/>
          <w:sz w:val="30"/>
          <w:szCs w:val="30"/>
        </w:rPr>
      </w:pPr>
      <w:r>
        <w:rPr>
          <w:rFonts w:hint="eastAsia" w:ascii="仿宋_GB2312" w:eastAsia="仿宋_GB2312" w:cstheme="minorBidi"/>
          <w:b/>
          <w:color w:val="auto"/>
          <w:sz w:val="30"/>
          <w:szCs w:val="30"/>
        </w:rPr>
        <w:t>1、绿色信贷</w:t>
      </w:r>
    </w:p>
    <w:p>
      <w:pPr>
        <w:spacing w:line="480" w:lineRule="exact"/>
        <w:ind w:firstLine="644" w:firstLineChars="200"/>
        <w:contextualSpacing/>
        <w:rPr>
          <w:rFonts w:ascii="仿宋_GB2312" w:hAnsi="华文中宋" w:eastAsia="仿宋_GB2312"/>
          <w:sz w:val="30"/>
          <w:szCs w:val="30"/>
        </w:rPr>
      </w:pPr>
      <w:r>
        <w:rPr>
          <w:rFonts w:hint="eastAsia" w:ascii="仿宋_GB2312" w:eastAsia="仿宋_GB2312" w:cs="Tahoma"/>
          <w:sz w:val="30"/>
          <w:szCs w:val="30"/>
          <w:lang w:eastAsia="zh-CN"/>
        </w:rPr>
        <w:t>2024</w:t>
      </w:r>
      <w:r>
        <w:rPr>
          <w:rFonts w:hint="eastAsia" w:ascii="仿宋_GB2312" w:eastAsia="仿宋_GB2312" w:cs="Tahoma"/>
          <w:sz w:val="30"/>
          <w:szCs w:val="30"/>
        </w:rPr>
        <w:t>年，本行持续贯彻落实绿色信贷指引要求，紧密围绕相关产业政策、监管要求，完善绿色信贷政策、梳理业务管理流程、严格绿色信贷准入机制，将绿色信贷发展理念、低碳金融可持续发展道路积极落实。</w:t>
      </w:r>
      <w:r>
        <w:rPr>
          <w:rFonts w:hint="eastAsia" w:ascii="仿宋_GB2312" w:hAnsi="华文中宋" w:eastAsia="仿宋_GB2312"/>
          <w:sz w:val="30"/>
          <w:szCs w:val="30"/>
        </w:rPr>
        <w:t>截至</w:t>
      </w:r>
      <w:r>
        <w:rPr>
          <w:rFonts w:hint="eastAsia" w:ascii="仿宋_GB2312" w:hAnsi="华文中宋" w:eastAsia="仿宋_GB2312"/>
          <w:sz w:val="30"/>
          <w:szCs w:val="30"/>
          <w:lang w:eastAsia="zh-CN"/>
        </w:rPr>
        <w:t>2024</w:t>
      </w:r>
      <w:r>
        <w:rPr>
          <w:rFonts w:hint="eastAsia" w:ascii="仿宋_GB2312" w:hAnsi="华文中宋" w:eastAsia="仿宋_GB2312"/>
          <w:sz w:val="30"/>
          <w:szCs w:val="30"/>
        </w:rPr>
        <w:t>年12月末，本行绿色贷款余额</w:t>
      </w:r>
      <w:r>
        <w:rPr>
          <w:rFonts w:hint="eastAsia" w:ascii="仿宋_GB2312" w:hAnsi="华文中宋" w:eastAsia="仿宋_GB2312"/>
          <w:sz w:val="30"/>
          <w:szCs w:val="30"/>
          <w:lang w:val="en-US" w:eastAsia="zh-CN"/>
        </w:rPr>
        <w:t>7.84</w:t>
      </w:r>
      <w:r>
        <w:rPr>
          <w:rFonts w:hint="eastAsia" w:ascii="仿宋_GB2312" w:hAnsi="华文中宋" w:eastAsia="仿宋_GB2312"/>
          <w:sz w:val="30"/>
          <w:szCs w:val="30"/>
        </w:rPr>
        <w:t>亿元</w:t>
      </w:r>
      <w:r>
        <w:rPr>
          <w:rFonts w:hint="eastAsia" w:ascii="仿宋_GB2312" w:hAnsi="华文中宋" w:eastAsia="仿宋_GB2312"/>
          <w:sz w:val="30"/>
          <w:szCs w:val="30"/>
          <w:lang w:eastAsia="zh-CN"/>
        </w:rPr>
        <w:t>，</w:t>
      </w:r>
      <w:r>
        <w:rPr>
          <w:rFonts w:hint="eastAsia" w:ascii="仿宋_GB2312" w:hAnsi="华文中宋" w:eastAsia="仿宋_GB2312"/>
          <w:sz w:val="30"/>
          <w:szCs w:val="30"/>
          <w:lang w:val="en-US" w:eastAsia="zh-CN"/>
        </w:rPr>
        <w:t>有力支持了地方经济建设</w:t>
      </w:r>
      <w:r>
        <w:rPr>
          <w:rFonts w:hint="eastAsia" w:ascii="仿宋_GB2312" w:hAnsi="华文中宋" w:eastAsia="仿宋_GB2312"/>
          <w:sz w:val="30"/>
          <w:szCs w:val="30"/>
        </w:rPr>
        <w:t>。</w:t>
      </w:r>
    </w:p>
    <w:p>
      <w:pPr>
        <w:spacing w:line="480" w:lineRule="exact"/>
        <w:ind w:firstLine="644" w:firstLineChars="200"/>
        <w:contextualSpacing/>
        <w:rPr>
          <w:rFonts w:ascii="楷体" w:hAnsi="楷体" w:eastAsia="楷体"/>
          <w:b/>
          <w:sz w:val="30"/>
          <w:szCs w:val="30"/>
        </w:rPr>
      </w:pPr>
      <w:r>
        <w:rPr>
          <w:rFonts w:hint="eastAsia" w:ascii="楷体" w:hAnsi="楷体" w:eastAsia="楷体"/>
          <w:b/>
          <w:sz w:val="30"/>
          <w:szCs w:val="30"/>
        </w:rPr>
        <w:t>（一）深入贯彻绿色信贷指引</w:t>
      </w:r>
    </w:p>
    <w:p>
      <w:pPr>
        <w:pStyle w:val="7"/>
        <w:spacing w:before="0" w:beforeAutospacing="0" w:after="0" w:afterAutospacing="0" w:line="480" w:lineRule="exact"/>
        <w:ind w:firstLine="644" w:firstLineChars="200"/>
        <w:contextualSpacing/>
        <w:jc w:val="both"/>
        <w:rPr>
          <w:rFonts w:ascii="仿宋_GB2312" w:eastAsia="仿宋_GB2312" w:cs="Tahoma"/>
          <w:sz w:val="30"/>
          <w:szCs w:val="30"/>
        </w:rPr>
      </w:pPr>
      <w:r>
        <w:rPr>
          <w:rFonts w:hint="eastAsia" w:ascii="仿宋_GB2312" w:eastAsia="仿宋_GB2312" w:cs="Tahoma"/>
          <w:sz w:val="30"/>
          <w:szCs w:val="30"/>
        </w:rPr>
        <w:t>对贷款营销、调查、审查和贷后检查等工作环节进行监督、指导，并将绿色信贷理念贯穿于信贷全流程管理。严格控制“两高一剩”、“落后产能”企业融资规模，对产能过剩行业的新增授信业务采取限额管理，对新申请的煤矿、钢铁等能源类项目实行风险前置管理，对确需新增的，一律实行减量置换，信贷规模上实行严格控制。</w:t>
      </w:r>
      <w:r>
        <w:rPr>
          <w:rFonts w:hint="eastAsia" w:ascii="仿宋_GB2312" w:hAnsi="华文中宋" w:eastAsia="仿宋_GB2312"/>
          <w:sz w:val="30"/>
          <w:szCs w:val="30"/>
        </w:rPr>
        <w:t>支持重点由传统产业向低碳经济领域延伸;对减量化、再利用以及资源化等项目优先给予信贷支持;对列入国家节能减排的重点项目，得到财政、税收支持的节能减排项目，节能减排成效显著、市场效益好、自主创新能力强、节能、节水、资源综合利用效率高的节能减排企业和项目，积极提供信贷支持，并适当实行利率优惠政策。</w:t>
      </w:r>
    </w:p>
    <w:p>
      <w:pPr>
        <w:spacing w:line="480" w:lineRule="exact"/>
        <w:ind w:firstLine="644" w:firstLineChars="200"/>
        <w:contextualSpacing/>
        <w:rPr>
          <w:rFonts w:ascii="仿宋_GB2312" w:eastAsia="仿宋_GB2312" w:cs="Tahoma"/>
          <w:sz w:val="30"/>
          <w:szCs w:val="30"/>
        </w:rPr>
      </w:pPr>
      <w:r>
        <w:rPr>
          <w:rFonts w:hint="eastAsia" w:ascii="楷体" w:hAnsi="楷体" w:eastAsia="楷体"/>
          <w:b/>
          <w:sz w:val="30"/>
          <w:szCs w:val="30"/>
        </w:rPr>
        <w:t>（二）坚持“区别对待、有保有压”，强化信贷管理</w:t>
      </w:r>
    </w:p>
    <w:p>
      <w:pPr>
        <w:pStyle w:val="13"/>
        <w:adjustRightInd/>
        <w:spacing w:line="480" w:lineRule="exact"/>
        <w:ind w:firstLine="644" w:firstLineChars="200"/>
        <w:contextualSpacing/>
        <w:jc w:val="both"/>
        <w:rPr>
          <w:rFonts w:ascii="仿宋_GB2312" w:eastAsia="仿宋_GB2312" w:cs="Tahoma"/>
          <w:color w:val="auto"/>
          <w:kern w:val="2"/>
          <w:sz w:val="30"/>
          <w:szCs w:val="30"/>
        </w:rPr>
      </w:pPr>
      <w:r>
        <w:rPr>
          <w:rFonts w:hint="eastAsia" w:ascii="仿宋_GB2312" w:eastAsia="仿宋_GB2312" w:cs="Tahoma"/>
          <w:color w:val="auto"/>
          <w:kern w:val="2"/>
          <w:sz w:val="30"/>
          <w:szCs w:val="30"/>
        </w:rPr>
        <w:t>实行“区别对待、有保有压”的差异化信贷风险管理。全面梳理存量授信业务，落实“一户一策”管理策略。按照“企业主体、政府推动、市场引导”的原则，根据企业规模、盈利能力和发展潜力等情况，对现有存量业务逐户梳理，制定切实可行的风险化解处置方案，支持化解产能过剩。通过业务重检对现有存量业务进行分类，对属于压缩退出业务范围的，至少提前半年做好压退预案，严格执行压退管理。</w:t>
      </w:r>
    </w:p>
    <w:p>
      <w:pPr>
        <w:pStyle w:val="13"/>
        <w:adjustRightInd/>
        <w:spacing w:line="480" w:lineRule="exact"/>
        <w:ind w:firstLine="644" w:firstLineChars="200"/>
        <w:contextualSpacing/>
        <w:jc w:val="both"/>
        <w:rPr>
          <w:rFonts w:ascii="仿宋_GB2312" w:eastAsia="仿宋_GB2312" w:cstheme="minorBidi"/>
          <w:b/>
          <w:color w:val="auto"/>
          <w:sz w:val="30"/>
          <w:szCs w:val="30"/>
        </w:rPr>
      </w:pPr>
      <w:r>
        <w:rPr>
          <w:rFonts w:hint="eastAsia" w:ascii="仿宋_GB2312" w:eastAsia="仿宋_GB2312" w:cstheme="minorBidi"/>
          <w:b/>
          <w:color w:val="auto"/>
          <w:sz w:val="30"/>
          <w:szCs w:val="30"/>
        </w:rPr>
        <w:t>2、绿色运营</w:t>
      </w:r>
    </w:p>
    <w:p>
      <w:pPr>
        <w:pStyle w:val="13"/>
        <w:adjustRightInd/>
        <w:spacing w:line="480" w:lineRule="exact"/>
        <w:ind w:firstLine="644" w:firstLineChars="200"/>
        <w:contextualSpacing/>
        <w:jc w:val="both"/>
        <w:rPr>
          <w:rFonts w:ascii="仿宋_GB2312" w:eastAsia="仿宋_GB2312" w:cstheme="minorBidi"/>
          <w:color w:val="auto"/>
          <w:sz w:val="30"/>
          <w:szCs w:val="30"/>
        </w:rPr>
      </w:pPr>
      <w:r>
        <w:rPr>
          <w:rFonts w:hint="eastAsia" w:ascii="仿宋_GB2312" w:eastAsia="仿宋_GB2312" w:cstheme="minorBidi"/>
          <w:color w:val="auto"/>
          <w:sz w:val="30"/>
          <w:szCs w:val="30"/>
        </w:rPr>
        <w:t>优化柜面业务和客户交互模式，创新运营业务流程，大力推广会计凭证及档案电子化，目前已实现全部网点无纸化的覆盖。将银行柜面各类传统纸质凭证电子化，逐步实现节能环保、绿色办公，为客户提供更加轻盈、高效、安全的服务体验。实现网上银行自助办理国地税签约等服务，优化申请流程，节约客户时间，提高客户体验感。</w:t>
      </w:r>
    </w:p>
    <w:p>
      <w:pPr>
        <w:pStyle w:val="13"/>
        <w:adjustRightInd/>
        <w:spacing w:line="480" w:lineRule="exact"/>
        <w:ind w:firstLine="644" w:firstLineChars="200"/>
        <w:contextualSpacing/>
        <w:jc w:val="both"/>
        <w:rPr>
          <w:rFonts w:ascii="仿宋_GB2312" w:eastAsia="仿宋_GB2312" w:cstheme="minorBidi"/>
          <w:color w:val="auto"/>
          <w:sz w:val="30"/>
          <w:szCs w:val="30"/>
        </w:rPr>
      </w:pPr>
      <w:r>
        <w:rPr>
          <w:rFonts w:hint="eastAsia" w:ascii="仿宋_GB2312" w:eastAsia="仿宋_GB2312" w:cstheme="minorBidi"/>
          <w:color w:val="auto"/>
          <w:sz w:val="30"/>
          <w:szCs w:val="30"/>
        </w:rPr>
        <w:t>倡导绿色运营理念，建立节约水电责任分区制度，杜绝浪费现象，公共区域张贴等醒目的宣传标语，倡导大家养成节约水电的良好习惯；建立食堂就餐人员餐厅就餐公约，倡导员工养成文明用餐、绿色生活习惯；在行内休闲场所设立多处健康驿站，为员工身心健康保驾护航，同时，实行无纸化管理，语音播报体测结果，培养大家环保节约的意识和习惯。</w:t>
      </w:r>
    </w:p>
    <w:p>
      <w:pPr>
        <w:pStyle w:val="13"/>
        <w:adjustRightInd/>
        <w:spacing w:line="480" w:lineRule="exact"/>
        <w:ind w:firstLine="644" w:firstLineChars="200"/>
        <w:contextualSpacing/>
        <w:jc w:val="both"/>
        <w:rPr>
          <w:rFonts w:ascii="仿宋_GB2312" w:eastAsia="仿宋_GB2312" w:cstheme="minorBidi"/>
          <w:b/>
          <w:color w:val="auto"/>
          <w:sz w:val="30"/>
          <w:szCs w:val="30"/>
        </w:rPr>
      </w:pPr>
      <w:r>
        <w:rPr>
          <w:rFonts w:hint="eastAsia" w:ascii="仿宋_GB2312" w:eastAsia="仿宋_GB2312" w:cstheme="minorBidi"/>
          <w:b/>
          <w:color w:val="auto"/>
          <w:sz w:val="30"/>
          <w:szCs w:val="30"/>
        </w:rPr>
        <w:t>3、绿色渠道</w:t>
      </w:r>
    </w:p>
    <w:p>
      <w:pPr>
        <w:pStyle w:val="13"/>
        <w:adjustRightInd/>
        <w:spacing w:line="480" w:lineRule="exact"/>
        <w:ind w:firstLine="644" w:firstLineChars="200"/>
        <w:contextualSpacing/>
        <w:jc w:val="both"/>
        <w:rPr>
          <w:rFonts w:ascii="仿宋_GB2312" w:eastAsia="仿宋_GB2312" w:cstheme="minorBidi"/>
          <w:color w:val="auto"/>
          <w:sz w:val="30"/>
          <w:szCs w:val="30"/>
        </w:rPr>
      </w:pPr>
      <w:r>
        <w:rPr>
          <w:rFonts w:hint="eastAsia" w:ascii="仿宋_GB2312" w:eastAsia="仿宋_GB2312" w:cstheme="minorBidi"/>
          <w:color w:val="auto"/>
          <w:sz w:val="30"/>
          <w:szCs w:val="30"/>
          <w:lang w:eastAsia="zh-CN"/>
        </w:rPr>
        <w:t>2024</w:t>
      </w:r>
      <w:r>
        <w:rPr>
          <w:rFonts w:hint="eastAsia" w:ascii="仿宋_GB2312" w:eastAsia="仿宋_GB2312" w:cstheme="minorBidi"/>
          <w:color w:val="auto"/>
          <w:sz w:val="30"/>
          <w:szCs w:val="30"/>
        </w:rPr>
        <w:t>年本行积极推广网上银行、手机银行、微信银行等业务，降低纸质凭证使用，降低经营成本，减少传统金融业务的碳排放量。</w:t>
      </w:r>
    </w:p>
    <w:p>
      <w:pPr>
        <w:pStyle w:val="13"/>
        <w:adjustRightInd/>
        <w:spacing w:line="480" w:lineRule="exact"/>
        <w:ind w:firstLine="644" w:firstLineChars="200"/>
        <w:contextualSpacing/>
        <w:jc w:val="both"/>
        <w:rPr>
          <w:rFonts w:ascii="黑体" w:hAnsi="黑体" w:eastAsia="黑体"/>
          <w:color w:val="auto"/>
          <w:sz w:val="30"/>
          <w:szCs w:val="30"/>
        </w:rPr>
      </w:pPr>
      <w:r>
        <w:rPr>
          <w:rFonts w:hint="eastAsia" w:ascii="黑体" w:hAnsi="黑体" w:eastAsia="黑体"/>
          <w:color w:val="auto"/>
          <w:sz w:val="30"/>
          <w:szCs w:val="30"/>
        </w:rPr>
        <w:t>四、202</w:t>
      </w:r>
      <w:r>
        <w:rPr>
          <w:rFonts w:hint="eastAsia" w:ascii="黑体" w:hAnsi="黑体" w:eastAsia="黑体"/>
          <w:color w:val="auto"/>
          <w:sz w:val="30"/>
          <w:szCs w:val="30"/>
          <w:lang w:val="en-US" w:eastAsia="zh-CN"/>
        </w:rPr>
        <w:t>5</w:t>
      </w:r>
      <w:r>
        <w:rPr>
          <w:rFonts w:hint="eastAsia" w:ascii="黑体" w:hAnsi="黑体" w:eastAsia="黑体"/>
          <w:color w:val="auto"/>
          <w:sz w:val="30"/>
          <w:szCs w:val="30"/>
        </w:rPr>
        <w:t>年展望</w:t>
      </w:r>
    </w:p>
    <w:p>
      <w:pPr>
        <w:autoSpaceDE w:val="0"/>
        <w:autoSpaceDN w:val="0"/>
        <w:spacing w:line="480" w:lineRule="exact"/>
        <w:ind w:firstLine="644" w:firstLineChars="200"/>
        <w:contextualSpacing/>
        <w:rPr>
          <w:rFonts w:ascii="仿宋_GB2312" w:eastAsia="仿宋_GB2312"/>
          <w:kern w:val="0"/>
          <w:sz w:val="30"/>
          <w:szCs w:val="30"/>
        </w:rPr>
      </w:pPr>
      <w:r>
        <w:rPr>
          <w:rFonts w:ascii="仿宋_GB2312" w:hAnsi="仿宋_GB2312" w:eastAsia="仿宋_GB2312" w:cs="仿宋_GB2312"/>
          <w:kern w:val="21"/>
          <w:sz w:val="30"/>
          <w:szCs w:val="30"/>
        </w:rPr>
        <w:t>20</w:t>
      </w:r>
      <w:r>
        <w:rPr>
          <w:rFonts w:hint="eastAsia" w:ascii="仿宋_GB2312" w:hAnsi="仿宋_GB2312" w:eastAsia="仿宋_GB2312" w:cs="仿宋_GB2312"/>
          <w:kern w:val="21"/>
          <w:sz w:val="30"/>
          <w:szCs w:val="30"/>
        </w:rPr>
        <w:t>2</w:t>
      </w:r>
      <w:r>
        <w:rPr>
          <w:rFonts w:hint="eastAsia" w:ascii="仿宋_GB2312" w:hAnsi="仿宋_GB2312" w:eastAsia="仿宋_GB2312" w:cs="仿宋_GB2312"/>
          <w:kern w:val="21"/>
          <w:sz w:val="30"/>
          <w:szCs w:val="30"/>
          <w:lang w:val="en-US" w:eastAsia="zh-CN"/>
        </w:rPr>
        <w:t>5</w:t>
      </w:r>
      <w:r>
        <w:rPr>
          <w:rFonts w:ascii="仿宋_GB2312" w:hAnsi="仿宋_GB2312" w:eastAsia="仿宋_GB2312" w:cs="仿宋_GB2312"/>
          <w:kern w:val="21"/>
          <w:sz w:val="30"/>
          <w:szCs w:val="30"/>
        </w:rPr>
        <w:t>年</w:t>
      </w:r>
      <w:r>
        <w:rPr>
          <w:rFonts w:hint="eastAsia" w:ascii="仿宋_GB2312" w:hAnsi="仿宋_GB2312" w:eastAsia="仿宋_GB2312" w:cs="仿宋_GB2312"/>
          <w:kern w:val="21"/>
          <w:sz w:val="30"/>
          <w:szCs w:val="30"/>
        </w:rPr>
        <w:t>是</w:t>
      </w:r>
      <w:r>
        <w:rPr>
          <w:rFonts w:hint="eastAsia" w:ascii="仿宋_GB2312" w:hAnsi="仿宋_GB2312" w:eastAsia="仿宋_GB2312" w:cs="仿宋_GB2312"/>
          <w:kern w:val="21"/>
          <w:sz w:val="30"/>
          <w:szCs w:val="30"/>
          <w:lang w:eastAsia="zh-CN"/>
        </w:rPr>
        <w:t>“</w:t>
      </w:r>
      <w:r>
        <w:rPr>
          <w:rFonts w:hint="eastAsia" w:ascii="仿宋_GB2312" w:hAnsi="仿宋_GB2312" w:eastAsia="仿宋_GB2312" w:cs="仿宋_GB2312"/>
          <w:kern w:val="21"/>
          <w:sz w:val="30"/>
          <w:szCs w:val="30"/>
          <w:lang w:val="en-US" w:eastAsia="zh-CN"/>
        </w:rPr>
        <w:t>十四五”规划的收官之年</w:t>
      </w:r>
      <w:r>
        <w:rPr>
          <w:rFonts w:hint="eastAsia" w:ascii="仿宋_GB2312" w:hAnsi="仿宋_GB2312" w:eastAsia="仿宋_GB2312" w:cs="仿宋_GB2312"/>
          <w:kern w:val="21"/>
          <w:sz w:val="30"/>
          <w:szCs w:val="30"/>
        </w:rPr>
        <w:t>，</w:t>
      </w:r>
      <w:r>
        <w:rPr>
          <w:rFonts w:hint="eastAsia" w:ascii="仿宋_GB2312" w:hAnsi="仿宋_GB2312" w:eastAsia="仿宋_GB2312" w:cs="仿宋_GB2312"/>
          <w:kern w:val="21"/>
          <w:sz w:val="30"/>
          <w:szCs w:val="30"/>
          <w:lang w:val="en-US" w:eastAsia="zh-CN"/>
        </w:rPr>
        <w:t>也</w:t>
      </w:r>
      <w:r>
        <w:rPr>
          <w:rFonts w:hint="eastAsia" w:ascii="仿宋_GB2312" w:hAnsi="仿宋_GB2312" w:eastAsia="仿宋_GB2312" w:cs="仿宋_GB2312"/>
          <w:kern w:val="21"/>
          <w:sz w:val="30"/>
          <w:szCs w:val="30"/>
        </w:rPr>
        <w:t>是</w:t>
      </w:r>
      <w:r>
        <w:rPr>
          <w:rFonts w:hint="eastAsia" w:ascii="仿宋_GB2312" w:hAnsi="仿宋_GB2312" w:eastAsia="仿宋_GB2312" w:cs="仿宋_GB2312"/>
          <w:kern w:val="21"/>
          <w:sz w:val="30"/>
          <w:szCs w:val="30"/>
          <w:lang w:val="en-US" w:eastAsia="zh-CN"/>
        </w:rPr>
        <w:t>组建“江苏农商联合银行”的</w:t>
      </w:r>
      <w:r>
        <w:rPr>
          <w:rFonts w:hint="eastAsia" w:ascii="仿宋_GB2312" w:hAnsi="仿宋_GB2312" w:eastAsia="仿宋_GB2312" w:cs="仿宋_GB2312"/>
          <w:kern w:val="21"/>
          <w:sz w:val="30"/>
          <w:szCs w:val="30"/>
        </w:rPr>
        <w:t>开局之年</w:t>
      </w:r>
      <w:r>
        <w:rPr>
          <w:rFonts w:hint="eastAsia" w:ascii="仿宋_GB2312" w:eastAsia="仿宋_GB2312"/>
          <w:kern w:val="0"/>
          <w:sz w:val="30"/>
          <w:szCs w:val="30"/>
        </w:rPr>
        <w:t>。本行将</w:t>
      </w:r>
      <w:r>
        <w:rPr>
          <w:rFonts w:hint="eastAsia" w:ascii="仿宋_GB2312" w:hAnsi="仿宋_GB2312" w:eastAsia="仿宋_GB2312" w:cs="仿宋_GB2312"/>
          <w:kern w:val="21"/>
          <w:sz w:val="30"/>
          <w:szCs w:val="30"/>
        </w:rPr>
        <w:t>以习近平新时代中国特色社会主义思想为指导，全面贯彻党的二十大和二十届</w:t>
      </w:r>
      <w:r>
        <w:rPr>
          <w:rFonts w:hint="eastAsia" w:ascii="仿宋_GB2312" w:hAnsi="仿宋_GB2312" w:eastAsia="仿宋_GB2312" w:cs="仿宋_GB2312"/>
          <w:kern w:val="21"/>
          <w:sz w:val="30"/>
          <w:szCs w:val="30"/>
          <w:lang w:val="en-US" w:eastAsia="zh-CN"/>
        </w:rPr>
        <w:t>历次</w:t>
      </w:r>
      <w:r>
        <w:rPr>
          <w:rFonts w:hint="eastAsia" w:ascii="仿宋_GB2312" w:hAnsi="仿宋_GB2312" w:eastAsia="仿宋_GB2312" w:cs="仿宋_GB2312"/>
          <w:kern w:val="21"/>
          <w:sz w:val="30"/>
          <w:szCs w:val="30"/>
        </w:rPr>
        <w:t>全会精神，紧紧围绕省联社</w:t>
      </w:r>
      <w:r>
        <w:rPr>
          <w:rFonts w:hint="eastAsia" w:ascii="仿宋_GB2312" w:hAnsi="仿宋_GB2312" w:eastAsia="仿宋_GB2312" w:cs="仿宋_GB2312"/>
          <w:kern w:val="21"/>
          <w:sz w:val="30"/>
          <w:szCs w:val="30"/>
          <w:lang w:val="en-US" w:eastAsia="zh-CN"/>
        </w:rPr>
        <w:t>第一次</w:t>
      </w:r>
      <w:r>
        <w:rPr>
          <w:rFonts w:hint="eastAsia" w:ascii="仿宋_GB2312" w:hAnsi="仿宋_GB2312" w:eastAsia="仿宋_GB2312" w:cs="仿宋_GB2312"/>
          <w:kern w:val="21"/>
          <w:sz w:val="30"/>
          <w:szCs w:val="30"/>
        </w:rPr>
        <w:t>党代会</w:t>
      </w:r>
      <w:r>
        <w:rPr>
          <w:rFonts w:hint="eastAsia" w:ascii="仿宋_GB2312" w:hAnsi="仿宋_GB2312" w:eastAsia="仿宋_GB2312" w:cs="仿宋_GB2312"/>
          <w:kern w:val="21"/>
          <w:sz w:val="30"/>
          <w:szCs w:val="30"/>
          <w:lang w:val="en-US" w:eastAsia="zh-CN"/>
        </w:rPr>
        <w:t>提出</w:t>
      </w:r>
      <w:r>
        <w:rPr>
          <w:rFonts w:hint="eastAsia" w:ascii="仿宋_GB2312" w:hAnsi="仿宋_GB2312" w:eastAsia="仿宋_GB2312" w:cs="仿宋_GB2312"/>
          <w:kern w:val="21"/>
          <w:sz w:val="30"/>
          <w:szCs w:val="30"/>
        </w:rPr>
        <w:t>的“3741”战略</w:t>
      </w:r>
      <w:r>
        <w:rPr>
          <w:rFonts w:hint="eastAsia" w:ascii="仿宋_GB2312" w:hAnsi="仿宋_GB2312" w:eastAsia="仿宋_GB2312" w:cs="仿宋_GB2312"/>
          <w:kern w:val="21"/>
          <w:sz w:val="30"/>
          <w:szCs w:val="30"/>
          <w:lang w:val="en-US" w:eastAsia="zh-CN"/>
        </w:rPr>
        <w:t>部署</w:t>
      </w:r>
      <w:r>
        <w:rPr>
          <w:rFonts w:hint="eastAsia" w:ascii="仿宋_GB2312" w:hAnsi="仿宋_GB2312" w:eastAsia="仿宋_GB2312" w:cs="仿宋_GB2312"/>
          <w:kern w:val="21"/>
          <w:sz w:val="30"/>
          <w:szCs w:val="30"/>
        </w:rPr>
        <w:t>，</w:t>
      </w:r>
      <w:r>
        <w:rPr>
          <w:rFonts w:hint="eastAsia" w:ascii="仿宋_GB2312" w:hAnsi="仿宋_GB2312" w:eastAsia="仿宋_GB2312" w:cs="仿宋_GB2312"/>
          <w:kern w:val="21"/>
          <w:sz w:val="30"/>
          <w:szCs w:val="30"/>
          <w:lang w:val="en-US" w:eastAsia="zh-CN"/>
        </w:rPr>
        <w:t>继</w:t>
      </w:r>
      <w:r>
        <w:rPr>
          <w:rFonts w:hint="eastAsia" w:ascii="仿宋_GB2312" w:hAnsi="仿宋_GB2312" w:eastAsia="仿宋_GB2312" w:cs="仿宋_GB2312"/>
          <w:kern w:val="21"/>
          <w:sz w:val="30"/>
          <w:szCs w:val="30"/>
        </w:rPr>
        <w:t>续坚持稳中求进工作总基调，统筹发展和安全，全力提升差异化核心竞争力，努力为中国式现代化扬中新实践作出新的更大贡献</w:t>
      </w:r>
      <w:r>
        <w:rPr>
          <w:rFonts w:hint="eastAsia" w:ascii="仿宋_GB2312" w:eastAsia="仿宋_GB2312"/>
          <w:kern w:val="0"/>
          <w:sz w:val="30"/>
          <w:szCs w:val="30"/>
        </w:rPr>
        <w:t>！</w:t>
      </w:r>
    </w:p>
    <w:sectPr>
      <w:headerReference r:id="rId3" w:type="default"/>
      <w:footerReference r:id="rId4" w:type="default"/>
      <w:pgSz w:w="11906" w:h="16838"/>
      <w:pgMar w:top="2098" w:right="1531" w:bottom="1701" w:left="1531" w:header="1191" w:footer="1361" w:gutter="0"/>
      <w:cols w:space="425" w:num="1"/>
      <w:docGrid w:type="linesAndChars" w:linePitch="289" w:charSpace="46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233"/>
  <w:drawingGridVerticalSpacing w:val="28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922"/>
    <w:rsid w:val="00015936"/>
    <w:rsid w:val="00030004"/>
    <w:rsid w:val="00035029"/>
    <w:rsid w:val="00073223"/>
    <w:rsid w:val="0007475B"/>
    <w:rsid w:val="00082422"/>
    <w:rsid w:val="0009568C"/>
    <w:rsid w:val="000A4D8F"/>
    <w:rsid w:val="000D6234"/>
    <w:rsid w:val="000E55EC"/>
    <w:rsid w:val="000F65F1"/>
    <w:rsid w:val="000F6DBF"/>
    <w:rsid w:val="001016AA"/>
    <w:rsid w:val="00110334"/>
    <w:rsid w:val="00113FF1"/>
    <w:rsid w:val="001453A2"/>
    <w:rsid w:val="00164071"/>
    <w:rsid w:val="00171496"/>
    <w:rsid w:val="00174D58"/>
    <w:rsid w:val="00183E05"/>
    <w:rsid w:val="00187810"/>
    <w:rsid w:val="0019484A"/>
    <w:rsid w:val="001C143F"/>
    <w:rsid w:val="001E55C9"/>
    <w:rsid w:val="001F0FB9"/>
    <w:rsid w:val="001F7DE0"/>
    <w:rsid w:val="00220158"/>
    <w:rsid w:val="00222934"/>
    <w:rsid w:val="00223A5E"/>
    <w:rsid w:val="002263D6"/>
    <w:rsid w:val="002415FD"/>
    <w:rsid w:val="00274322"/>
    <w:rsid w:val="002854C3"/>
    <w:rsid w:val="002B2B1D"/>
    <w:rsid w:val="002B75B1"/>
    <w:rsid w:val="002D4638"/>
    <w:rsid w:val="002F3E03"/>
    <w:rsid w:val="00382FC1"/>
    <w:rsid w:val="00390638"/>
    <w:rsid w:val="003B2DE0"/>
    <w:rsid w:val="003B4028"/>
    <w:rsid w:val="003C29AF"/>
    <w:rsid w:val="003D787A"/>
    <w:rsid w:val="003E6011"/>
    <w:rsid w:val="00406760"/>
    <w:rsid w:val="004121A2"/>
    <w:rsid w:val="00420A5D"/>
    <w:rsid w:val="004223CF"/>
    <w:rsid w:val="00460EE0"/>
    <w:rsid w:val="00461A89"/>
    <w:rsid w:val="004656C6"/>
    <w:rsid w:val="00470401"/>
    <w:rsid w:val="00483B37"/>
    <w:rsid w:val="00491B26"/>
    <w:rsid w:val="004B1673"/>
    <w:rsid w:val="004C4B4D"/>
    <w:rsid w:val="004D6517"/>
    <w:rsid w:val="004E5336"/>
    <w:rsid w:val="0050217E"/>
    <w:rsid w:val="00507220"/>
    <w:rsid w:val="0051342E"/>
    <w:rsid w:val="00541D34"/>
    <w:rsid w:val="00544AD6"/>
    <w:rsid w:val="005630A7"/>
    <w:rsid w:val="00587017"/>
    <w:rsid w:val="00596B15"/>
    <w:rsid w:val="005B73B3"/>
    <w:rsid w:val="005C7A09"/>
    <w:rsid w:val="005D164F"/>
    <w:rsid w:val="005E271E"/>
    <w:rsid w:val="005E43B2"/>
    <w:rsid w:val="005F2451"/>
    <w:rsid w:val="00603C64"/>
    <w:rsid w:val="00604354"/>
    <w:rsid w:val="006044C9"/>
    <w:rsid w:val="00607B81"/>
    <w:rsid w:val="00633F33"/>
    <w:rsid w:val="006426A6"/>
    <w:rsid w:val="00653F71"/>
    <w:rsid w:val="00657998"/>
    <w:rsid w:val="00661A90"/>
    <w:rsid w:val="00675696"/>
    <w:rsid w:val="00681601"/>
    <w:rsid w:val="006A74BB"/>
    <w:rsid w:val="006C00F9"/>
    <w:rsid w:val="006E7BF2"/>
    <w:rsid w:val="00700390"/>
    <w:rsid w:val="007051B8"/>
    <w:rsid w:val="00726E4A"/>
    <w:rsid w:val="00742BB1"/>
    <w:rsid w:val="007769B4"/>
    <w:rsid w:val="00777EEF"/>
    <w:rsid w:val="007A0EDA"/>
    <w:rsid w:val="007B7756"/>
    <w:rsid w:val="007C7A49"/>
    <w:rsid w:val="007D72BC"/>
    <w:rsid w:val="007F22A5"/>
    <w:rsid w:val="007F3948"/>
    <w:rsid w:val="007F7171"/>
    <w:rsid w:val="00806A66"/>
    <w:rsid w:val="008139AE"/>
    <w:rsid w:val="00816FF5"/>
    <w:rsid w:val="00823486"/>
    <w:rsid w:val="00833E79"/>
    <w:rsid w:val="00847223"/>
    <w:rsid w:val="008567B5"/>
    <w:rsid w:val="0087672E"/>
    <w:rsid w:val="00893CF8"/>
    <w:rsid w:val="00897B6E"/>
    <w:rsid w:val="008B6066"/>
    <w:rsid w:val="008C067D"/>
    <w:rsid w:val="009053FD"/>
    <w:rsid w:val="009500F4"/>
    <w:rsid w:val="0097173A"/>
    <w:rsid w:val="00993E6F"/>
    <w:rsid w:val="00995C61"/>
    <w:rsid w:val="00995ED8"/>
    <w:rsid w:val="009A0DA1"/>
    <w:rsid w:val="009B6915"/>
    <w:rsid w:val="009D777C"/>
    <w:rsid w:val="009F3974"/>
    <w:rsid w:val="00A149EF"/>
    <w:rsid w:val="00A15E7B"/>
    <w:rsid w:val="00A24EB9"/>
    <w:rsid w:val="00A42AB7"/>
    <w:rsid w:val="00A661C5"/>
    <w:rsid w:val="00A77760"/>
    <w:rsid w:val="00A84051"/>
    <w:rsid w:val="00AD0596"/>
    <w:rsid w:val="00AD5ED2"/>
    <w:rsid w:val="00B12CF9"/>
    <w:rsid w:val="00B16042"/>
    <w:rsid w:val="00B17B82"/>
    <w:rsid w:val="00B32260"/>
    <w:rsid w:val="00B438E6"/>
    <w:rsid w:val="00B7486C"/>
    <w:rsid w:val="00B90CB2"/>
    <w:rsid w:val="00BA18FB"/>
    <w:rsid w:val="00BB3F51"/>
    <w:rsid w:val="00BD34AC"/>
    <w:rsid w:val="00BE7AC6"/>
    <w:rsid w:val="00BF4B5F"/>
    <w:rsid w:val="00C07342"/>
    <w:rsid w:val="00C66467"/>
    <w:rsid w:val="00CA2EC8"/>
    <w:rsid w:val="00CA55BE"/>
    <w:rsid w:val="00CB14D2"/>
    <w:rsid w:val="00CB5421"/>
    <w:rsid w:val="00CD43FB"/>
    <w:rsid w:val="00CD5667"/>
    <w:rsid w:val="00CF5F26"/>
    <w:rsid w:val="00D10099"/>
    <w:rsid w:val="00D27A1F"/>
    <w:rsid w:val="00D5005C"/>
    <w:rsid w:val="00D52DC7"/>
    <w:rsid w:val="00D7333C"/>
    <w:rsid w:val="00DA0218"/>
    <w:rsid w:val="00DA681D"/>
    <w:rsid w:val="00DD0EFB"/>
    <w:rsid w:val="00DD10F1"/>
    <w:rsid w:val="00E35925"/>
    <w:rsid w:val="00E407DF"/>
    <w:rsid w:val="00E45D20"/>
    <w:rsid w:val="00E56599"/>
    <w:rsid w:val="00E904E9"/>
    <w:rsid w:val="00EA184F"/>
    <w:rsid w:val="00EB1F38"/>
    <w:rsid w:val="00EC1142"/>
    <w:rsid w:val="00EC6AAC"/>
    <w:rsid w:val="00EF137C"/>
    <w:rsid w:val="00EF4456"/>
    <w:rsid w:val="00F22B32"/>
    <w:rsid w:val="00F41922"/>
    <w:rsid w:val="00F7347D"/>
    <w:rsid w:val="00F73792"/>
    <w:rsid w:val="00FA1F16"/>
    <w:rsid w:val="00FB0614"/>
    <w:rsid w:val="00FC33BE"/>
    <w:rsid w:val="00FC3FA4"/>
    <w:rsid w:val="00FF147B"/>
    <w:rsid w:val="00FF1ACD"/>
    <w:rsid w:val="0250031E"/>
    <w:rsid w:val="0CEF512C"/>
    <w:rsid w:val="193D412E"/>
    <w:rsid w:val="1DEC78E4"/>
    <w:rsid w:val="1E10373E"/>
    <w:rsid w:val="2F526A40"/>
    <w:rsid w:val="3037338A"/>
    <w:rsid w:val="315919AB"/>
    <w:rsid w:val="34D2305F"/>
    <w:rsid w:val="399B7266"/>
    <w:rsid w:val="3B6F6A16"/>
    <w:rsid w:val="3BD069D3"/>
    <w:rsid w:val="47EC180F"/>
    <w:rsid w:val="486D5BEE"/>
    <w:rsid w:val="49414750"/>
    <w:rsid w:val="54EB4EAE"/>
    <w:rsid w:val="55671C2C"/>
    <w:rsid w:val="5CDB0293"/>
    <w:rsid w:val="62E024BC"/>
    <w:rsid w:val="63493533"/>
    <w:rsid w:val="67601C73"/>
    <w:rsid w:val="6CF06136"/>
    <w:rsid w:val="70837F65"/>
    <w:rsid w:val="70A264DF"/>
    <w:rsid w:val="73C05A2C"/>
    <w:rsid w:val="7459715A"/>
    <w:rsid w:val="754E0E15"/>
    <w:rsid w:val="7A2831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三级1"/>
    <w:next w:val="3"/>
    <w:qFormat/>
    <w:uiPriority w:val="0"/>
    <w:pPr>
      <w:ind w:left="2422" w:hanging="720"/>
    </w:pPr>
    <w:rPr>
      <w:rFonts w:ascii="宋体" w:hAnsi="宋体" w:eastAsia="仿宋_GB2312" w:cs="Times New Roman"/>
      <w:spacing w:val="10"/>
      <w:sz w:val="32"/>
      <w:lang w:val="en-US" w:eastAsia="zh-CN" w:bidi="ar-SA"/>
    </w:rPr>
  </w:style>
  <w:style w:type="paragraph" w:styleId="3">
    <w:name w:val="Title"/>
    <w:basedOn w:val="1"/>
    <w:qFormat/>
    <w:uiPriority w:val="0"/>
    <w:pPr>
      <w:jc w:val="center"/>
      <w:outlineLvl w:val="0"/>
    </w:pPr>
    <w:rPr>
      <w:rFonts w:ascii="Arial" w:hAnsi="Arial" w:eastAsia="宋体" w:cs="Times New Roman"/>
      <w:b/>
      <w:sz w:val="32"/>
      <w:szCs w:val="24"/>
    </w:rPr>
  </w:style>
  <w:style w:type="paragraph" w:styleId="4">
    <w:name w:val="Balloon Text"/>
    <w:basedOn w:val="1"/>
    <w:link w:val="12"/>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jc w:val="left"/>
    </w:pPr>
    <w:rPr>
      <w:rFonts w:ascii="Times New Roman" w:hAnsi="Times New Roman" w:eastAsia="宋体" w:cs="Times New Roman"/>
      <w:kern w:val="0"/>
      <w:sz w:val="24"/>
      <w:szCs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批注框文本 Char"/>
    <w:basedOn w:val="10"/>
    <w:link w:val="4"/>
    <w:semiHidden/>
    <w:qFormat/>
    <w:uiPriority w:val="99"/>
    <w:rPr>
      <w:sz w:val="18"/>
      <w:szCs w:val="18"/>
    </w:rPr>
  </w:style>
  <w:style w:type="paragraph" w:customStyle="1" w:styleId="1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14">
    <w:name w:val="页眉 Char"/>
    <w:basedOn w:val="10"/>
    <w:link w:val="6"/>
    <w:semiHidden/>
    <w:qFormat/>
    <w:uiPriority w:val="99"/>
    <w:rPr>
      <w:sz w:val="18"/>
      <w:szCs w:val="18"/>
    </w:rPr>
  </w:style>
  <w:style w:type="character" w:customStyle="1" w:styleId="15">
    <w:name w:val="页脚 Char"/>
    <w:basedOn w:val="10"/>
    <w:link w:val="5"/>
    <w:qFormat/>
    <w:uiPriority w:val="99"/>
    <w:rPr>
      <w:sz w:val="18"/>
      <w:szCs w:val="18"/>
    </w:rPr>
  </w:style>
  <w:style w:type="character" w:customStyle="1" w:styleId="16">
    <w:name w:val="NormalCharacter"/>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E94DFA-22BF-4CDD-8FA3-DA75221FA434}">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1516</Words>
  <Characters>8645</Characters>
  <Lines>72</Lines>
  <Paragraphs>20</Paragraphs>
  <TotalTime>10</TotalTime>
  <ScaleCrop>false</ScaleCrop>
  <LinksUpToDate>false</LinksUpToDate>
  <CharactersWithSpaces>10141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2024-03-13T03:25:00Z</dcterms:created>
  <dc:creator>王骏_综合部</dc:creator>
  <cp:lastModifiedBy>admin</cp:lastModifiedBy>
  <cp:lastPrinted>2024-03-27T02:07:00Z</cp:lastPrinted>
  <dcterms:modified xsi:type="dcterms:W3CDTF">2025-10-20T08:03:00Z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98FFA618A73642BBA8DBD7858C0981FB</vt:lpwstr>
  </property>
</Properties>
</file>